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D9BD6" w14:textId="18879C80" w:rsidR="004C536F" w:rsidRDefault="00423EE0" w:rsidP="00423EE0">
      <w:pPr>
        <w:pStyle w:val="Body"/>
        <w:jc w:val="center"/>
        <w:rPr>
          <w:rFonts w:ascii="Calibri" w:hAnsi="Calibri" w:cs="Calibri"/>
          <w:b/>
          <w:sz w:val="22"/>
          <w:szCs w:val="22"/>
        </w:rPr>
      </w:pPr>
      <w:r w:rsidRPr="004C536F">
        <w:rPr>
          <w:rFonts w:ascii="Calibri" w:hAnsi="Calibri" w:cs="Calibri"/>
          <w:b/>
          <w:sz w:val="22"/>
          <w:szCs w:val="22"/>
        </w:rPr>
        <w:t>INTERIM REMOTE PROCTORING APPLICATION</w:t>
      </w:r>
    </w:p>
    <w:p w14:paraId="258B8895" w14:textId="77777777" w:rsidR="008B4A9A" w:rsidRPr="004C536F" w:rsidRDefault="008B4A9A" w:rsidP="00423EE0">
      <w:pPr>
        <w:pStyle w:val="Body"/>
        <w:jc w:val="center"/>
        <w:rPr>
          <w:rFonts w:ascii="Calibri" w:hAnsi="Calibri" w:cs="Calibri"/>
          <w:b/>
          <w:sz w:val="22"/>
          <w:szCs w:val="22"/>
        </w:rPr>
      </w:pPr>
    </w:p>
    <w:p w14:paraId="6A404285" w14:textId="23055B6C" w:rsidR="004C536F" w:rsidRDefault="004C536F" w:rsidP="0070151C">
      <w:pPr>
        <w:pStyle w:val="Body"/>
        <w:jc w:val="both"/>
        <w:rPr>
          <w:rFonts w:ascii="Calibri" w:hAnsi="Calibri" w:cs="Calibri"/>
          <w:sz w:val="22"/>
          <w:szCs w:val="22"/>
        </w:rPr>
      </w:pPr>
      <w:r w:rsidRPr="004C536F">
        <w:rPr>
          <w:rFonts w:ascii="Calibri" w:hAnsi="Calibri" w:cs="Calibri"/>
          <w:sz w:val="22"/>
          <w:szCs w:val="22"/>
        </w:rPr>
        <w:t xml:space="preserve">The ABSNC </w:t>
      </w:r>
      <w:r w:rsidR="007D7A47">
        <w:rPr>
          <w:rFonts w:ascii="Calibri" w:hAnsi="Calibri" w:cs="Calibri"/>
          <w:sz w:val="22"/>
          <w:szCs w:val="22"/>
        </w:rPr>
        <w:t>initially</w:t>
      </w:r>
      <w:r w:rsidR="007D7A47" w:rsidRPr="004C536F">
        <w:rPr>
          <w:rFonts w:ascii="Calibri" w:hAnsi="Calibri" w:cs="Calibri"/>
          <w:sz w:val="22"/>
          <w:szCs w:val="22"/>
        </w:rPr>
        <w:t xml:space="preserve"> </w:t>
      </w:r>
      <w:r w:rsidRPr="004C536F">
        <w:rPr>
          <w:rFonts w:ascii="Calibri" w:hAnsi="Calibri" w:cs="Calibri"/>
          <w:sz w:val="22"/>
          <w:szCs w:val="22"/>
        </w:rPr>
        <w:t>addressed the critical need for certification organizations to continue to make certification testing available to its constituents during the COVID-19 crisis. As a result, approval of temporary remote proctoring was made available. Upon submission of application to conduct temporary remote proctoring, organizations experienced a prompt response from the ABSNC regarding application approval.</w:t>
      </w:r>
    </w:p>
    <w:p w14:paraId="23BCCBBE" w14:textId="77777777" w:rsidR="007D7A47" w:rsidRPr="004C536F" w:rsidRDefault="007D7A47" w:rsidP="0070151C">
      <w:pPr>
        <w:pStyle w:val="Body"/>
        <w:jc w:val="both"/>
        <w:rPr>
          <w:rFonts w:ascii="Calibri" w:hAnsi="Calibri" w:cs="Calibri"/>
          <w:sz w:val="22"/>
          <w:szCs w:val="22"/>
        </w:rPr>
      </w:pPr>
    </w:p>
    <w:p w14:paraId="3E44EA18" w14:textId="473C5614" w:rsidR="004C536F" w:rsidRDefault="004C536F" w:rsidP="0070151C">
      <w:pPr>
        <w:pStyle w:val="Body"/>
        <w:jc w:val="both"/>
        <w:rPr>
          <w:rFonts w:ascii="Calibri" w:hAnsi="Calibri" w:cs="Calibri"/>
          <w:sz w:val="22"/>
          <w:szCs w:val="22"/>
        </w:rPr>
      </w:pPr>
      <w:r w:rsidRPr="004C536F">
        <w:rPr>
          <w:rFonts w:ascii="Calibri" w:hAnsi="Calibri" w:cs="Calibri"/>
          <w:sz w:val="22"/>
          <w:szCs w:val="22"/>
        </w:rPr>
        <w:t>Following the implementation of temporary remote proctoring, the ABSNC conducted a review of the Standards relevant to a long-term remote proctoring solution for accredited organizations. Once reviewed</w:t>
      </w:r>
      <w:r w:rsidR="0070151C">
        <w:rPr>
          <w:rFonts w:ascii="Calibri" w:hAnsi="Calibri" w:cs="Calibri"/>
          <w:sz w:val="22"/>
          <w:szCs w:val="22"/>
        </w:rPr>
        <w:t xml:space="preserve"> and </w:t>
      </w:r>
      <w:r w:rsidR="004F5503">
        <w:rPr>
          <w:rFonts w:ascii="Calibri" w:hAnsi="Calibri" w:cs="Calibri"/>
          <w:sz w:val="22"/>
          <w:szCs w:val="22"/>
        </w:rPr>
        <w:t>circulated for public comment</w:t>
      </w:r>
      <w:r w:rsidRPr="004C536F">
        <w:rPr>
          <w:rFonts w:ascii="Calibri" w:hAnsi="Calibri" w:cs="Calibri"/>
          <w:sz w:val="22"/>
          <w:szCs w:val="22"/>
        </w:rPr>
        <w:t xml:space="preserve"> </w:t>
      </w:r>
      <w:r w:rsidR="004F5503">
        <w:rPr>
          <w:rFonts w:ascii="Calibri" w:hAnsi="Calibri" w:cs="Calibri"/>
          <w:sz w:val="22"/>
          <w:szCs w:val="22"/>
        </w:rPr>
        <w:t xml:space="preserve">the standards were </w:t>
      </w:r>
      <w:r w:rsidRPr="004C536F">
        <w:rPr>
          <w:rFonts w:ascii="Calibri" w:hAnsi="Calibri" w:cs="Calibri"/>
          <w:sz w:val="22"/>
          <w:szCs w:val="22"/>
        </w:rPr>
        <w:t>revised</w:t>
      </w:r>
      <w:r w:rsidR="004F5503">
        <w:rPr>
          <w:rFonts w:ascii="Calibri" w:hAnsi="Calibri" w:cs="Calibri"/>
          <w:sz w:val="22"/>
          <w:szCs w:val="22"/>
        </w:rPr>
        <w:t xml:space="preserve"> to reflect the requirements for permanent remote proctoring</w:t>
      </w:r>
      <w:r w:rsidR="005E5CF7">
        <w:rPr>
          <w:rFonts w:ascii="Calibri" w:hAnsi="Calibri" w:cs="Calibri"/>
          <w:sz w:val="22"/>
          <w:szCs w:val="22"/>
        </w:rPr>
        <w:t>:</w:t>
      </w:r>
      <w:r w:rsidR="004F5503">
        <w:rPr>
          <w:rFonts w:ascii="Calibri" w:hAnsi="Calibri" w:cs="Calibri"/>
          <w:sz w:val="22"/>
          <w:szCs w:val="22"/>
        </w:rPr>
        <w:t xml:space="preserve"> </w:t>
      </w:r>
      <w:r w:rsidR="005E5CF7">
        <w:rPr>
          <w:rFonts w:ascii="Calibri" w:hAnsi="Calibri" w:cs="Calibri"/>
          <w:sz w:val="22"/>
          <w:szCs w:val="22"/>
        </w:rPr>
        <w:t xml:space="preserve"> </w:t>
      </w:r>
    </w:p>
    <w:p w14:paraId="0AE12128" w14:textId="2F4A7C84" w:rsidR="005E5CF7" w:rsidRPr="004C536F" w:rsidRDefault="005E5CF7" w:rsidP="0070151C">
      <w:pPr>
        <w:pStyle w:val="Body"/>
        <w:numPr>
          <w:ilvl w:val="0"/>
          <w:numId w:val="41"/>
        </w:numPr>
        <w:jc w:val="both"/>
        <w:rPr>
          <w:rFonts w:ascii="Calibri" w:hAnsi="Calibri" w:cs="Calibri"/>
          <w:sz w:val="22"/>
          <w:szCs w:val="22"/>
        </w:rPr>
      </w:pPr>
      <w:r w:rsidRPr="004C536F">
        <w:rPr>
          <w:rFonts w:ascii="Calibri" w:hAnsi="Calibri" w:cs="Calibri"/>
          <w:sz w:val="22"/>
          <w:szCs w:val="22"/>
        </w:rPr>
        <w:t>ABSNC will communicate with organizations previously approved for temporary Remote Proctoring to determine intent to continue with Remote Proctoring as a more permanent method of test delivery</w:t>
      </w:r>
      <w:r>
        <w:rPr>
          <w:rFonts w:ascii="Calibri" w:hAnsi="Calibri" w:cs="Calibri"/>
          <w:sz w:val="22"/>
          <w:szCs w:val="22"/>
        </w:rPr>
        <w:t xml:space="preserve">. </w:t>
      </w:r>
    </w:p>
    <w:p w14:paraId="7F3B1082" w14:textId="314C42F8" w:rsidR="005E5CF7" w:rsidRDefault="005E5CF7" w:rsidP="0070151C">
      <w:pPr>
        <w:pStyle w:val="Body"/>
        <w:numPr>
          <w:ilvl w:val="0"/>
          <w:numId w:val="41"/>
        </w:numPr>
        <w:jc w:val="both"/>
        <w:rPr>
          <w:rFonts w:ascii="Calibri" w:hAnsi="Calibri" w:cs="Calibri"/>
          <w:sz w:val="22"/>
          <w:szCs w:val="22"/>
        </w:rPr>
      </w:pPr>
      <w:r w:rsidRPr="004C536F">
        <w:rPr>
          <w:rFonts w:ascii="Calibri" w:hAnsi="Calibri" w:cs="Calibri"/>
          <w:sz w:val="22"/>
          <w:szCs w:val="22"/>
        </w:rPr>
        <w:t>Organizations continuing with Remote Proctoring will be required to submit additional documentation as indicated in the updated standards by April 1, 2021.</w:t>
      </w:r>
    </w:p>
    <w:p w14:paraId="55B1E67B" w14:textId="77777777" w:rsidR="0070151C" w:rsidRPr="004C536F" w:rsidRDefault="0070151C" w:rsidP="0070151C">
      <w:pPr>
        <w:pStyle w:val="Body"/>
        <w:ind w:left="720"/>
        <w:jc w:val="both"/>
        <w:rPr>
          <w:rFonts w:ascii="Calibri" w:hAnsi="Calibri" w:cs="Calibri"/>
          <w:sz w:val="22"/>
          <w:szCs w:val="22"/>
        </w:rPr>
      </w:pPr>
    </w:p>
    <w:p w14:paraId="1342903F" w14:textId="77777777" w:rsidR="005E5CF7" w:rsidRPr="004C536F" w:rsidRDefault="005E5CF7" w:rsidP="0070151C">
      <w:pPr>
        <w:pStyle w:val="Body"/>
        <w:jc w:val="both"/>
        <w:rPr>
          <w:rFonts w:ascii="Calibri" w:hAnsi="Calibri" w:cs="Calibri"/>
          <w:sz w:val="22"/>
          <w:szCs w:val="22"/>
        </w:rPr>
      </w:pPr>
      <w:r w:rsidRPr="004C536F">
        <w:rPr>
          <w:rFonts w:ascii="Calibri" w:hAnsi="Calibri" w:cs="Calibri"/>
          <w:sz w:val="22"/>
          <w:szCs w:val="22"/>
        </w:rPr>
        <w:t>For organizations not currently approved for Remote Proctoring:</w:t>
      </w:r>
    </w:p>
    <w:p w14:paraId="7BA46E37" w14:textId="77777777" w:rsidR="005E5CF7" w:rsidRPr="004C536F" w:rsidRDefault="005E5CF7" w:rsidP="0070151C">
      <w:pPr>
        <w:pStyle w:val="Body"/>
        <w:numPr>
          <w:ilvl w:val="0"/>
          <w:numId w:val="42"/>
        </w:numPr>
        <w:jc w:val="both"/>
        <w:rPr>
          <w:rFonts w:ascii="Calibri" w:hAnsi="Calibri" w:cs="Calibri"/>
          <w:sz w:val="22"/>
          <w:szCs w:val="22"/>
        </w:rPr>
      </w:pPr>
      <w:r w:rsidRPr="004C536F">
        <w:rPr>
          <w:rFonts w:ascii="Calibri" w:hAnsi="Calibri" w:cs="Calibri"/>
          <w:sz w:val="22"/>
          <w:szCs w:val="22"/>
        </w:rPr>
        <w:t>Adoption of Remote Proctoring during the reaccreditation cycle will submit an ‘addendum’ to their accreditation application encompassing the Remote Proctoring Standards.</w:t>
      </w:r>
    </w:p>
    <w:p w14:paraId="6E25300F" w14:textId="77777777" w:rsidR="005E5CF7" w:rsidRPr="004C536F" w:rsidRDefault="005E5CF7" w:rsidP="0070151C">
      <w:pPr>
        <w:pStyle w:val="Body"/>
        <w:numPr>
          <w:ilvl w:val="0"/>
          <w:numId w:val="42"/>
        </w:numPr>
        <w:jc w:val="both"/>
        <w:rPr>
          <w:rFonts w:ascii="Calibri" w:hAnsi="Calibri" w:cs="Calibri"/>
          <w:sz w:val="22"/>
          <w:szCs w:val="22"/>
        </w:rPr>
      </w:pPr>
      <w:r w:rsidRPr="004C536F">
        <w:rPr>
          <w:rFonts w:ascii="Calibri" w:hAnsi="Calibri" w:cs="Calibri"/>
          <w:sz w:val="22"/>
          <w:szCs w:val="22"/>
        </w:rPr>
        <w:t>Adoption of Remote Proctoring in conjunction with reaccreditation or initial application will include adherence to Remote Proctoring standards in the application.</w:t>
      </w:r>
    </w:p>
    <w:p w14:paraId="3A3F34F3" w14:textId="41BDB343" w:rsidR="004C536F" w:rsidRPr="004C536F" w:rsidRDefault="004C536F" w:rsidP="0070151C">
      <w:pPr>
        <w:pStyle w:val="Body"/>
        <w:numPr>
          <w:ilvl w:val="0"/>
          <w:numId w:val="41"/>
        </w:numPr>
        <w:jc w:val="both"/>
        <w:rPr>
          <w:rFonts w:ascii="Calibri" w:hAnsi="Calibri" w:cs="Calibri"/>
          <w:sz w:val="22"/>
          <w:szCs w:val="22"/>
        </w:rPr>
      </w:pPr>
      <w:r w:rsidRPr="004C536F">
        <w:rPr>
          <w:rFonts w:ascii="Calibri" w:hAnsi="Calibri" w:cs="Calibri"/>
          <w:sz w:val="22"/>
          <w:szCs w:val="22"/>
        </w:rPr>
        <w:t>ABSNC will assess a $50 fee for organizations submitting an addendum for their accreditation status.</w:t>
      </w:r>
      <w:r w:rsidR="005B1B87">
        <w:rPr>
          <w:rFonts w:ascii="Calibri" w:hAnsi="Calibri" w:cs="Calibri"/>
          <w:sz w:val="22"/>
          <w:szCs w:val="22"/>
        </w:rPr>
        <w:t xml:space="preserve"> Fee must be submitted in conjunction with the application.</w:t>
      </w:r>
    </w:p>
    <w:p w14:paraId="1819FC5B" w14:textId="77777777" w:rsidR="00DD2A19" w:rsidRDefault="00DD2A19">
      <w:pPr>
        <w:pStyle w:val="Body"/>
      </w:pPr>
    </w:p>
    <w:p w14:paraId="29616A6F" w14:textId="5734BFEC" w:rsidR="005B1B87" w:rsidRDefault="005B1B87" w:rsidP="005B1B87">
      <w:pPr>
        <w:pStyle w:val="Body"/>
        <w:rPr>
          <w:rFonts w:ascii="Calibri" w:eastAsia="Calibri" w:hAnsi="Calibri" w:cs="Calibri"/>
          <w:b/>
          <w:bCs/>
        </w:rPr>
      </w:pPr>
      <w:r w:rsidRPr="005B1B87">
        <w:rPr>
          <w:rFonts w:ascii="Calibri" w:eastAsia="Calibri" w:hAnsi="Calibri" w:cs="Calibri"/>
          <w:b/>
          <w:bCs/>
        </w:rPr>
        <w:t xml:space="preserve"> </w:t>
      </w:r>
      <w:r>
        <w:rPr>
          <w:rFonts w:ascii="Calibri" w:eastAsia="Calibri" w:hAnsi="Calibri" w:cs="Calibri"/>
          <w:b/>
          <w:bCs/>
        </w:rPr>
        <w:t>STANDARD 4</w:t>
      </w:r>
    </w:p>
    <w:p w14:paraId="193CF27A" w14:textId="77777777" w:rsidR="005B1B87" w:rsidRDefault="005B1B87" w:rsidP="005B1B87">
      <w:pPr>
        <w:pStyle w:val="Heading"/>
      </w:pPr>
      <w:bookmarkStart w:id="0" w:name="_Toc3"/>
      <w:r>
        <w:rPr>
          <w:lang w:val="de-DE"/>
        </w:rPr>
        <w:t>NON-DISCRIMINATION</w:t>
      </w:r>
      <w:bookmarkEnd w:id="0"/>
    </w:p>
    <w:p w14:paraId="522EF71B" w14:textId="77777777" w:rsidR="005B1B87" w:rsidRDefault="005B1B87" w:rsidP="005B1B87">
      <w:pPr>
        <w:pStyle w:val="Body"/>
        <w:rPr>
          <w:rFonts w:ascii="Calibri" w:eastAsia="Calibri" w:hAnsi="Calibri" w:cs="Calibri"/>
          <w:b/>
          <w:bCs/>
        </w:rPr>
      </w:pPr>
    </w:p>
    <w:p w14:paraId="6ECA96E8" w14:textId="77777777" w:rsidR="005B1B87" w:rsidRDefault="005B1B87" w:rsidP="005B1B87">
      <w:pPr>
        <w:pStyle w:val="Body"/>
        <w:rPr>
          <w:rFonts w:ascii="Calibri" w:eastAsia="Calibri" w:hAnsi="Calibri" w:cs="Calibri"/>
          <w:b/>
          <w:bCs/>
        </w:rPr>
      </w:pPr>
      <w:r>
        <w:rPr>
          <w:rFonts w:ascii="Calibri" w:eastAsia="Calibri" w:hAnsi="Calibri" w:cs="Calibri"/>
          <w:b/>
          <w:bCs/>
        </w:rPr>
        <w:t>The certifying organization does not discriminate among candidates as to age, sex, race, religion, national origin, ethnicity, disability, marital status, sexual orientation, and gender identity.</w:t>
      </w:r>
    </w:p>
    <w:p w14:paraId="37F2E455" w14:textId="7A3A9BDB" w:rsidR="00DD2A19" w:rsidRDefault="00DD2A19">
      <w:pPr>
        <w:pStyle w:val="Title"/>
      </w:pPr>
    </w:p>
    <w:tbl>
      <w:tblPr>
        <w:tblW w:w="105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39"/>
        <w:gridCol w:w="4767"/>
        <w:tblGridChange w:id="1">
          <w:tblGrid>
            <w:gridCol w:w="5739"/>
            <w:gridCol w:w="4767"/>
          </w:tblGrid>
        </w:tblGridChange>
      </w:tblGrid>
      <w:tr w:rsidR="0070151C" w:rsidRPr="001561F4" w14:paraId="077ED026" w14:textId="77777777" w:rsidTr="0070151C">
        <w:trPr>
          <w:trHeight w:val="856"/>
        </w:trPr>
        <w:tc>
          <w:tcPr>
            <w:tcW w:w="5739"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Mar>
              <w:top w:w="80" w:type="dxa"/>
              <w:left w:w="80" w:type="dxa"/>
              <w:bottom w:w="80" w:type="dxa"/>
              <w:right w:w="80" w:type="dxa"/>
            </w:tcMar>
          </w:tcPr>
          <w:p w14:paraId="4A37D85A" w14:textId="226380FF" w:rsidR="0070151C" w:rsidRPr="001561F4" w:rsidRDefault="001561F4" w:rsidP="003E7943">
            <w:pPr>
              <w:pStyle w:val="Body"/>
              <w:tabs>
                <w:tab w:val="left" w:pos="617"/>
              </w:tabs>
              <w:rPr>
                <w:rFonts w:ascii="Calibri" w:eastAsia="Calibri" w:hAnsi="Calibri" w:cs="Calibri"/>
                <w:color w:val="FFFFFF" w:themeColor="background1"/>
              </w:rPr>
            </w:pPr>
            <w:bookmarkStart w:id="2" w:name="_Hlk61439413"/>
            <w:r w:rsidRPr="001561F4">
              <w:rPr>
                <w:rFonts w:ascii="Calibri" w:eastAsia="Calibri" w:hAnsi="Calibri" w:cs="Calibri"/>
                <w:color w:val="FFFFFF" w:themeColor="background1"/>
              </w:rPr>
              <w:t>DOCUME</w:t>
            </w:r>
            <w:r>
              <w:rPr>
                <w:rFonts w:ascii="Calibri" w:eastAsia="Calibri" w:hAnsi="Calibri" w:cs="Calibri"/>
                <w:color w:val="FFFFFF" w:themeColor="background1"/>
              </w:rPr>
              <w:t>NT</w:t>
            </w:r>
            <w:r w:rsidRPr="001561F4">
              <w:rPr>
                <w:rFonts w:ascii="Calibri" w:eastAsia="Calibri" w:hAnsi="Calibri" w:cs="Calibri"/>
                <w:color w:val="FFFFFF" w:themeColor="background1"/>
              </w:rPr>
              <w:t xml:space="preserve">ATION </w:t>
            </w:r>
            <w:r w:rsidR="0070151C" w:rsidRPr="001561F4">
              <w:rPr>
                <w:rFonts w:ascii="Calibri" w:eastAsia="Calibri" w:hAnsi="Calibri" w:cs="Calibri"/>
                <w:color w:val="FFFFFF" w:themeColor="background1"/>
              </w:rPr>
              <w:t xml:space="preserve">– The applicant organization must: </w:t>
            </w:r>
          </w:p>
        </w:tc>
        <w:tc>
          <w:tcPr>
            <w:tcW w:w="4767"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Mar>
              <w:top w:w="80" w:type="dxa"/>
              <w:left w:w="80" w:type="dxa"/>
              <w:bottom w:w="80" w:type="dxa"/>
              <w:right w:w="80" w:type="dxa"/>
            </w:tcMar>
          </w:tcPr>
          <w:p w14:paraId="362EB0D3" w14:textId="77777777" w:rsidR="0070151C" w:rsidRPr="0070151C" w:rsidRDefault="0070151C" w:rsidP="0070151C">
            <w:pPr>
              <w:jc w:val="center"/>
              <w:rPr>
                <w:rFonts w:asciiTheme="majorHAnsi" w:hAnsiTheme="majorHAnsi"/>
                <w:b/>
                <w:color w:val="FFFFFF" w:themeColor="background1"/>
                <w:sz w:val="20"/>
                <w:szCs w:val="20"/>
              </w:rPr>
            </w:pPr>
            <w:r w:rsidRPr="0070151C">
              <w:rPr>
                <w:rFonts w:asciiTheme="majorHAnsi" w:hAnsiTheme="majorHAnsi"/>
                <w:b/>
                <w:color w:val="FFFFFF" w:themeColor="background1"/>
                <w:sz w:val="20"/>
                <w:szCs w:val="20"/>
              </w:rPr>
              <w:t>Narrative</w:t>
            </w:r>
          </w:p>
          <w:p w14:paraId="5B73E0AA" w14:textId="384264D2" w:rsidR="0070151C" w:rsidRPr="001561F4" w:rsidRDefault="0070151C" w:rsidP="0070151C">
            <w:pPr>
              <w:rPr>
                <w:rFonts w:asciiTheme="majorHAnsi" w:hAnsiTheme="majorHAnsi"/>
                <w:color w:val="FFFFFF" w:themeColor="background1"/>
                <w:sz w:val="20"/>
                <w:szCs w:val="20"/>
              </w:rPr>
            </w:pPr>
            <w:r w:rsidRPr="001561F4">
              <w:rPr>
                <w:rFonts w:ascii="Calibri" w:eastAsia="Calibri" w:hAnsi="Calibri" w:cs="Calibri"/>
                <w:i/>
                <w:iCs/>
                <w:color w:val="FFFFFF" w:themeColor="background1"/>
                <w:sz w:val="18"/>
                <w:szCs w:val="18"/>
                <w:u w:color="FFFFFF"/>
              </w:rPr>
              <w:t>(Cite tab or Appendix for Specific Supporting Documentation)</w:t>
            </w:r>
          </w:p>
        </w:tc>
      </w:tr>
      <w:bookmarkEnd w:id="2"/>
      <w:tr w:rsidR="001A6136" w14:paraId="20EFE481" w14:textId="77777777" w:rsidTr="00423EE0">
        <w:trPr>
          <w:trHeight w:val="856"/>
        </w:trPr>
        <w:tc>
          <w:tcPr>
            <w:tcW w:w="5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0E5AE" w14:textId="23EE550F" w:rsidR="00B425C1" w:rsidRPr="00B425C1" w:rsidRDefault="00B425C1" w:rsidP="001561F4">
            <w:pPr>
              <w:pStyle w:val="Body"/>
              <w:tabs>
                <w:tab w:val="left" w:pos="617"/>
              </w:tabs>
              <w:ind w:left="525" w:hanging="525"/>
              <w:rPr>
                <w:rFonts w:ascii="Calibri" w:eastAsia="Calibri" w:hAnsi="Calibri" w:cs="Calibri"/>
                <w:color w:val="002060"/>
              </w:rPr>
            </w:pPr>
            <w:r w:rsidRPr="00B425C1">
              <w:rPr>
                <w:rFonts w:ascii="Calibri" w:eastAsia="Calibri" w:hAnsi="Calibri" w:cs="Calibri"/>
                <w:color w:val="auto"/>
              </w:rPr>
              <w:t xml:space="preserve">4.4     </w:t>
            </w:r>
            <w:r w:rsidRPr="00B425C1">
              <w:rPr>
                <w:rFonts w:ascii="Calibri" w:eastAsia="Calibri" w:hAnsi="Calibri" w:cs="Calibri"/>
                <w:b/>
                <w:color w:val="auto"/>
              </w:rPr>
              <w:t xml:space="preserve">Detail </w:t>
            </w:r>
            <w:r w:rsidRPr="00B425C1">
              <w:rPr>
                <w:rFonts w:ascii="Calibri" w:eastAsia="Calibri" w:hAnsi="Calibri" w:cs="Calibri"/>
                <w:color w:val="auto"/>
              </w:rPr>
              <w:t>how requests for accommodations for Remote Proctoring are managed. Indicate N/A if you do not utilize a remote proctored/delivered test</w:t>
            </w:r>
            <w:r>
              <w:rPr>
                <w:rFonts w:ascii="Calibri" w:eastAsia="Calibri" w:hAnsi="Calibri" w:cs="Calibri"/>
                <w:color w:val="002060"/>
              </w:rPr>
              <w:t>.</w:t>
            </w:r>
            <w:r w:rsidRPr="00B425C1">
              <w:rPr>
                <w:rFonts w:ascii="Calibri" w:eastAsia="Calibri" w:hAnsi="Calibri" w:cs="Calibri"/>
                <w:color w:val="FFFFFF" w:themeColor="background1"/>
              </w:rPr>
              <w:t>………………………………………………</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83401" w14:textId="77777777" w:rsidR="001A6136" w:rsidRPr="00F5070A" w:rsidRDefault="001A6136" w:rsidP="001A6136">
            <w:pPr>
              <w:rPr>
                <w:rFonts w:asciiTheme="majorHAnsi" w:hAnsiTheme="majorHAnsi"/>
                <w:sz w:val="20"/>
                <w:szCs w:val="20"/>
              </w:rPr>
            </w:pPr>
          </w:p>
        </w:tc>
      </w:tr>
      <w:tr w:rsidR="00B425C1" w14:paraId="34CADE61" w14:textId="77777777" w:rsidTr="00423EE0">
        <w:trPr>
          <w:trHeight w:val="926"/>
        </w:trPr>
        <w:tc>
          <w:tcPr>
            <w:tcW w:w="5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1B3BE" w14:textId="41E6E111" w:rsidR="00B425C1" w:rsidRPr="001F34F7" w:rsidRDefault="00B425C1" w:rsidP="001561F4">
            <w:pPr>
              <w:pStyle w:val="Body"/>
              <w:tabs>
                <w:tab w:val="left" w:pos="525"/>
              </w:tabs>
              <w:ind w:left="615" w:hanging="615"/>
              <w:rPr>
                <w:rFonts w:ascii="Calibri" w:eastAsia="Calibri" w:hAnsi="Calibri" w:cs="Calibri"/>
              </w:rPr>
            </w:pPr>
            <w:r w:rsidRPr="001F34F7">
              <w:rPr>
                <w:rFonts w:ascii="Calibri" w:eastAsia="Calibri" w:hAnsi="Calibri" w:cs="Calibri"/>
              </w:rPr>
              <w:t>4.</w:t>
            </w:r>
            <w:r w:rsidR="007C0E26">
              <w:rPr>
                <w:rFonts w:ascii="Calibri" w:eastAsia="Calibri" w:hAnsi="Calibri" w:cs="Calibri"/>
              </w:rPr>
              <w:t>4</w:t>
            </w:r>
            <w:r w:rsidRPr="001F34F7">
              <w:rPr>
                <w:rFonts w:ascii="Calibri" w:eastAsia="Calibri" w:hAnsi="Calibri" w:cs="Calibri"/>
              </w:rPr>
              <w:t xml:space="preserve">a.   </w:t>
            </w:r>
            <w:r w:rsidRPr="001F34F7">
              <w:rPr>
                <w:rFonts w:ascii="Calibri" w:eastAsia="Calibri" w:hAnsi="Calibri" w:cs="Calibri"/>
                <w:b/>
                <w:bCs/>
              </w:rPr>
              <w:t xml:space="preserve">Provide </w:t>
            </w:r>
            <w:r w:rsidRPr="001F34F7">
              <w:rPr>
                <w:rFonts w:ascii="Calibri" w:eastAsia="Calibri" w:hAnsi="Calibri" w:cs="Calibri"/>
              </w:rPr>
              <w:t>policies from both the vendor and the organization</w:t>
            </w:r>
          </w:p>
          <w:p w14:paraId="49B94A0D" w14:textId="51550E55" w:rsidR="00B425C1" w:rsidRPr="001F34F7" w:rsidRDefault="00B425C1" w:rsidP="001561F4">
            <w:pPr>
              <w:pStyle w:val="Body"/>
              <w:tabs>
                <w:tab w:val="left" w:pos="525"/>
              </w:tabs>
              <w:ind w:left="615" w:hanging="615"/>
              <w:rPr>
                <w:rFonts w:ascii="Calibri" w:eastAsia="Calibri" w:hAnsi="Calibri" w:cs="Calibri"/>
              </w:rPr>
            </w:pPr>
            <w:r w:rsidRPr="001F34F7">
              <w:rPr>
                <w:rFonts w:ascii="Calibri" w:eastAsia="Calibri" w:hAnsi="Calibri" w:cs="Calibri"/>
              </w:rPr>
              <w:t xml:space="preserve">            that address requests that may not be possible if the</w:t>
            </w:r>
          </w:p>
          <w:p w14:paraId="645AC03E" w14:textId="4713C5D2" w:rsidR="00B425C1" w:rsidRPr="001F34F7" w:rsidRDefault="00B425C1" w:rsidP="001561F4">
            <w:pPr>
              <w:pStyle w:val="Body"/>
              <w:tabs>
                <w:tab w:val="left" w:pos="525"/>
              </w:tabs>
              <w:ind w:left="615" w:hanging="615"/>
              <w:rPr>
                <w:rFonts w:ascii="Calibri" w:eastAsia="Calibri" w:hAnsi="Calibri" w:cs="Calibri"/>
              </w:rPr>
            </w:pPr>
            <w:r w:rsidRPr="001F34F7">
              <w:rPr>
                <w:rFonts w:ascii="Calibri" w:eastAsia="Calibri" w:hAnsi="Calibri" w:cs="Calibri"/>
              </w:rPr>
              <w:t xml:space="preserve">            test is delivered by remote proctoring, either live or record</w:t>
            </w:r>
          </w:p>
          <w:p w14:paraId="5AC5396D" w14:textId="3D810B85" w:rsidR="00B425C1" w:rsidRPr="00B425C1" w:rsidRDefault="00B425C1" w:rsidP="001561F4">
            <w:pPr>
              <w:pStyle w:val="Body"/>
              <w:tabs>
                <w:tab w:val="left" w:pos="525"/>
                <w:tab w:val="left" w:pos="617"/>
              </w:tabs>
              <w:ind w:left="615" w:hanging="615"/>
              <w:rPr>
                <w:rFonts w:ascii="Calibri" w:eastAsia="Calibri" w:hAnsi="Calibri" w:cs="Calibri"/>
                <w:color w:val="auto"/>
              </w:rPr>
            </w:pPr>
            <w:r w:rsidRPr="001F34F7">
              <w:rPr>
                <w:rFonts w:ascii="Calibri" w:eastAsia="Calibri" w:hAnsi="Calibri" w:cs="Calibri"/>
              </w:rPr>
              <w:t xml:space="preserve">            </w:t>
            </w:r>
            <w:r>
              <w:rPr>
                <w:rFonts w:ascii="Calibri" w:eastAsia="Calibri" w:hAnsi="Calibri" w:cs="Calibri"/>
              </w:rPr>
              <w:t xml:space="preserve"> </w:t>
            </w:r>
            <w:r w:rsidRPr="001F34F7">
              <w:rPr>
                <w:rFonts w:ascii="Calibri" w:eastAsia="Calibri" w:hAnsi="Calibri" w:cs="Calibri"/>
              </w:rPr>
              <w:t xml:space="preserve">and review.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9003C" w14:textId="77777777" w:rsidR="00B425C1" w:rsidRPr="00F5070A" w:rsidRDefault="00B425C1" w:rsidP="001A6136">
            <w:pPr>
              <w:rPr>
                <w:rFonts w:asciiTheme="majorHAnsi" w:hAnsiTheme="majorHAnsi"/>
                <w:sz w:val="20"/>
                <w:szCs w:val="20"/>
              </w:rPr>
            </w:pPr>
          </w:p>
        </w:tc>
      </w:tr>
      <w:tr w:rsidR="00B425C1" w14:paraId="42451514" w14:textId="77777777" w:rsidTr="00423EE0">
        <w:trPr>
          <w:trHeight w:val="702"/>
        </w:trPr>
        <w:tc>
          <w:tcPr>
            <w:tcW w:w="5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0CCF7" w14:textId="5C98D531" w:rsidR="00B425C1" w:rsidRPr="001F34F7" w:rsidRDefault="00B425C1" w:rsidP="00B425C1">
            <w:pPr>
              <w:pStyle w:val="Body"/>
              <w:tabs>
                <w:tab w:val="left" w:pos="750"/>
              </w:tabs>
              <w:rPr>
                <w:rFonts w:ascii="Calibri" w:eastAsia="Calibri" w:hAnsi="Calibri" w:cs="Calibri"/>
              </w:rPr>
            </w:pPr>
            <w:r w:rsidRPr="001F34F7">
              <w:rPr>
                <w:rFonts w:ascii="Calibri" w:eastAsia="Calibri" w:hAnsi="Calibri" w:cs="Calibri"/>
              </w:rPr>
              <w:t xml:space="preserve">4.4b.    </w:t>
            </w:r>
            <w:r w:rsidRPr="001F34F7">
              <w:rPr>
                <w:rFonts w:ascii="Calibri" w:eastAsia="Calibri" w:hAnsi="Calibri" w:cs="Calibri"/>
                <w:b/>
                <w:bCs/>
              </w:rPr>
              <w:t xml:space="preserve">Provide </w:t>
            </w:r>
            <w:r w:rsidRPr="001F34F7">
              <w:rPr>
                <w:rFonts w:ascii="Calibri" w:eastAsia="Calibri" w:hAnsi="Calibri" w:cs="Calibri"/>
              </w:rPr>
              <w:t>publicly available information for accommodations</w:t>
            </w:r>
          </w:p>
          <w:p w14:paraId="4D43EB2F" w14:textId="784E68E0" w:rsidR="00B425C1" w:rsidRPr="001F34F7" w:rsidRDefault="00B425C1" w:rsidP="00B425C1">
            <w:pPr>
              <w:pStyle w:val="Body"/>
              <w:tabs>
                <w:tab w:val="left" w:pos="750"/>
              </w:tabs>
              <w:rPr>
                <w:rFonts w:ascii="Calibri" w:eastAsia="Calibri" w:hAnsi="Calibri" w:cs="Calibri"/>
              </w:rPr>
            </w:pPr>
            <w:r w:rsidRPr="001F34F7">
              <w:rPr>
                <w:rFonts w:ascii="Calibri" w:eastAsia="Calibri" w:hAnsi="Calibri" w:cs="Calibri"/>
              </w:rPr>
              <w:t xml:space="preserve">            </w:t>
            </w:r>
            <w:r w:rsidR="00B31732">
              <w:rPr>
                <w:rFonts w:ascii="Calibri" w:eastAsia="Calibri" w:hAnsi="Calibri" w:cs="Calibri"/>
              </w:rPr>
              <w:t xml:space="preserve"> </w:t>
            </w:r>
            <w:r w:rsidRPr="001F34F7">
              <w:rPr>
                <w:rFonts w:ascii="Calibri" w:eastAsia="Calibri" w:hAnsi="Calibri" w:cs="Calibri"/>
              </w:rPr>
              <w:t>specific to remote proctoring, e.g., Candidate Handbook,</w:t>
            </w:r>
          </w:p>
          <w:p w14:paraId="525DA159" w14:textId="715C2D9A" w:rsidR="00B425C1" w:rsidRPr="001F34F7" w:rsidRDefault="00B425C1" w:rsidP="00B425C1">
            <w:pPr>
              <w:pStyle w:val="Body"/>
              <w:tabs>
                <w:tab w:val="left" w:pos="750"/>
              </w:tabs>
              <w:rPr>
                <w:rFonts w:ascii="Calibri" w:eastAsia="Calibri" w:hAnsi="Calibri" w:cs="Calibri"/>
              </w:rPr>
            </w:pPr>
            <w:r w:rsidRPr="001F34F7">
              <w:rPr>
                <w:rFonts w:ascii="Calibri" w:eastAsia="Calibri" w:hAnsi="Calibri" w:cs="Calibri"/>
              </w:rPr>
              <w:t xml:space="preserve">             Website, etc.</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3B509" w14:textId="77777777" w:rsidR="00B425C1" w:rsidRPr="00F5070A" w:rsidRDefault="00B425C1" w:rsidP="001A6136">
            <w:pPr>
              <w:rPr>
                <w:rFonts w:asciiTheme="majorHAnsi" w:hAnsiTheme="majorHAnsi"/>
                <w:sz w:val="20"/>
                <w:szCs w:val="20"/>
              </w:rPr>
            </w:pPr>
          </w:p>
        </w:tc>
      </w:tr>
    </w:tbl>
    <w:p w14:paraId="21AAD70D" w14:textId="77777777" w:rsidR="001F3BDC" w:rsidRDefault="001F3BDC">
      <w:pPr>
        <w:pStyle w:val="Body"/>
        <w:rPr>
          <w:rFonts w:ascii="Calibri" w:eastAsia="Calibri" w:hAnsi="Calibri" w:cs="Calibri"/>
          <w:b/>
          <w:bCs/>
          <w:i/>
          <w:iCs/>
        </w:rPr>
      </w:pPr>
    </w:p>
    <w:p w14:paraId="02C5F6DF" w14:textId="77777777" w:rsidR="001561F4" w:rsidRDefault="001561F4" w:rsidP="005B1B87">
      <w:pPr>
        <w:pStyle w:val="Body"/>
        <w:rPr>
          <w:rFonts w:ascii="Calibri" w:eastAsia="Calibri" w:hAnsi="Calibri" w:cs="Calibri"/>
          <w:b/>
          <w:bCs/>
        </w:rPr>
      </w:pPr>
    </w:p>
    <w:p w14:paraId="32E4A7A0" w14:textId="77777777" w:rsidR="001561F4" w:rsidRDefault="001561F4" w:rsidP="005B1B87">
      <w:pPr>
        <w:pStyle w:val="Body"/>
        <w:rPr>
          <w:rFonts w:ascii="Calibri" w:eastAsia="Calibri" w:hAnsi="Calibri" w:cs="Calibri"/>
          <w:b/>
          <w:bCs/>
        </w:rPr>
      </w:pPr>
    </w:p>
    <w:p w14:paraId="4D3515B6" w14:textId="77777777" w:rsidR="001561F4" w:rsidRDefault="001561F4" w:rsidP="005B1B87">
      <w:pPr>
        <w:pStyle w:val="Body"/>
        <w:rPr>
          <w:rFonts w:ascii="Calibri" w:eastAsia="Calibri" w:hAnsi="Calibri" w:cs="Calibri"/>
          <w:b/>
          <w:bCs/>
        </w:rPr>
      </w:pPr>
    </w:p>
    <w:p w14:paraId="690E7758" w14:textId="766C14A4" w:rsidR="001561F4" w:rsidRDefault="001561F4" w:rsidP="005B1B87">
      <w:pPr>
        <w:pStyle w:val="Body"/>
        <w:rPr>
          <w:rFonts w:ascii="Calibri" w:eastAsia="Calibri" w:hAnsi="Calibri" w:cs="Calibri"/>
          <w:b/>
          <w:bCs/>
        </w:rPr>
      </w:pPr>
    </w:p>
    <w:p w14:paraId="2B60D10A" w14:textId="77777777" w:rsidR="001561F4" w:rsidRDefault="001561F4" w:rsidP="005B1B87">
      <w:pPr>
        <w:pStyle w:val="Body"/>
        <w:rPr>
          <w:rFonts w:ascii="Calibri" w:eastAsia="Calibri" w:hAnsi="Calibri" w:cs="Calibri"/>
          <w:b/>
          <w:bCs/>
        </w:rPr>
      </w:pPr>
    </w:p>
    <w:p w14:paraId="4797638E" w14:textId="77777777" w:rsidR="001561F4" w:rsidRDefault="001561F4" w:rsidP="005B1B87">
      <w:pPr>
        <w:pStyle w:val="Body"/>
        <w:rPr>
          <w:rFonts w:ascii="Calibri" w:eastAsia="Calibri" w:hAnsi="Calibri" w:cs="Calibri"/>
          <w:b/>
          <w:bCs/>
        </w:rPr>
      </w:pPr>
    </w:p>
    <w:p w14:paraId="604B4906" w14:textId="77777777" w:rsidR="001561F4" w:rsidRDefault="001561F4" w:rsidP="005B1B87">
      <w:pPr>
        <w:pStyle w:val="Body"/>
        <w:rPr>
          <w:rFonts w:ascii="Calibri" w:eastAsia="Calibri" w:hAnsi="Calibri" w:cs="Calibri"/>
          <w:b/>
          <w:bCs/>
        </w:rPr>
      </w:pPr>
      <w:bookmarkStart w:id="3" w:name="_GoBack"/>
      <w:bookmarkEnd w:id="3"/>
    </w:p>
    <w:p w14:paraId="5DAAD992" w14:textId="15D32551" w:rsidR="005B1B87" w:rsidRDefault="005B1B87" w:rsidP="005B1B87">
      <w:pPr>
        <w:pStyle w:val="Body"/>
        <w:rPr>
          <w:rFonts w:ascii="Calibri" w:eastAsia="Calibri" w:hAnsi="Calibri" w:cs="Calibri"/>
          <w:b/>
          <w:bCs/>
        </w:rPr>
      </w:pPr>
      <w:r>
        <w:rPr>
          <w:rFonts w:ascii="Calibri" w:eastAsia="Calibri" w:hAnsi="Calibri" w:cs="Calibri"/>
          <w:b/>
          <w:bCs/>
        </w:rPr>
        <w:lastRenderedPageBreak/>
        <w:t>STANDARD 9</w:t>
      </w:r>
    </w:p>
    <w:p w14:paraId="7E698E14" w14:textId="77777777" w:rsidR="005B1B87" w:rsidRDefault="005B1B87" w:rsidP="005B1B87">
      <w:pPr>
        <w:pStyle w:val="Heading"/>
      </w:pPr>
      <w:bookmarkStart w:id="4" w:name="_Toc8"/>
      <w:r>
        <w:rPr>
          <w:lang w:val="da-DK"/>
        </w:rPr>
        <w:t>RELIABILITY</w:t>
      </w:r>
      <w:bookmarkEnd w:id="4"/>
    </w:p>
    <w:p w14:paraId="327C7F84" w14:textId="77777777" w:rsidR="005B1B87" w:rsidRDefault="005B1B87" w:rsidP="005B1B87">
      <w:pPr>
        <w:pStyle w:val="Body"/>
        <w:rPr>
          <w:rFonts w:ascii="Calibri" w:eastAsia="Calibri" w:hAnsi="Calibri" w:cs="Calibri"/>
          <w:b/>
          <w:bCs/>
        </w:rPr>
      </w:pPr>
    </w:p>
    <w:p w14:paraId="6D34B44E" w14:textId="763F1581" w:rsidR="005B1B87" w:rsidRDefault="005B1B87" w:rsidP="005B1B87">
      <w:pPr>
        <w:pStyle w:val="Body"/>
        <w:rPr>
          <w:rFonts w:ascii="Calibri" w:eastAsia="Calibri" w:hAnsi="Calibri" w:cs="Calibri"/>
          <w:b/>
          <w:bCs/>
        </w:rPr>
      </w:pPr>
      <w:r>
        <w:rPr>
          <w:rFonts w:ascii="Calibri" w:eastAsia="Calibri" w:hAnsi="Calibri" w:cs="Calibri"/>
          <w:b/>
          <w:bCs/>
        </w:rPr>
        <w:t xml:space="preserve">The certifying organization assures test scores, including </w:t>
      </w:r>
      <w:proofErr w:type="spellStart"/>
      <w:r>
        <w:rPr>
          <w:rFonts w:ascii="Calibri" w:eastAsia="Calibri" w:hAnsi="Calibri" w:cs="Calibri"/>
          <w:b/>
          <w:bCs/>
        </w:rPr>
        <w:t>subscores</w:t>
      </w:r>
      <w:proofErr w:type="spellEnd"/>
      <w:r>
        <w:rPr>
          <w:rFonts w:ascii="Calibri" w:eastAsia="Calibri" w:hAnsi="Calibri" w:cs="Calibri"/>
          <w:b/>
          <w:bCs/>
        </w:rPr>
        <w:t>, are sufficiently reliable for their intended uses.</w:t>
      </w:r>
    </w:p>
    <w:p w14:paraId="6D28F876" w14:textId="77777777" w:rsidR="005B1B87" w:rsidRDefault="005B1B87" w:rsidP="005B1B87">
      <w:pPr>
        <w:pStyle w:val="Body"/>
        <w:rPr>
          <w:rFonts w:ascii="Calibri" w:eastAsia="Calibri" w:hAnsi="Calibri" w:cs="Calibri"/>
          <w:b/>
          <w:bCs/>
        </w:rPr>
      </w:pPr>
    </w:p>
    <w:tbl>
      <w:tblPr>
        <w:tblW w:w="105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37"/>
        <w:gridCol w:w="4770"/>
      </w:tblGrid>
      <w:tr w:rsidR="005B1B87" w14:paraId="64FA6D46" w14:textId="77777777" w:rsidTr="001561F4">
        <w:trPr>
          <w:trHeight w:val="850"/>
        </w:trPr>
        <w:tc>
          <w:tcPr>
            <w:tcW w:w="5737"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Mar>
              <w:top w:w="80" w:type="dxa"/>
              <w:left w:w="80" w:type="dxa"/>
              <w:bottom w:w="80" w:type="dxa"/>
              <w:right w:w="80" w:type="dxa"/>
            </w:tcMar>
          </w:tcPr>
          <w:p w14:paraId="308AC849" w14:textId="77777777" w:rsidR="005B1B87" w:rsidRPr="00D408E9" w:rsidRDefault="005B1B87" w:rsidP="000210D4">
            <w:pPr>
              <w:pStyle w:val="Body"/>
              <w:tabs>
                <w:tab w:val="left" w:pos="735"/>
              </w:tabs>
              <w:ind w:left="735" w:hanging="720"/>
              <w:rPr>
                <w:rFonts w:ascii="Calibri" w:eastAsia="Calibri" w:hAnsi="Calibri" w:cs="Calibri"/>
                <w:b/>
                <w:bCs/>
                <w:color w:val="FFFFFF" w:themeColor="background1"/>
              </w:rPr>
            </w:pPr>
            <w:bookmarkStart w:id="5" w:name="_Hlk61439720"/>
          </w:p>
          <w:p w14:paraId="57327488" w14:textId="77777777" w:rsidR="005B1B87" w:rsidRPr="00D408E9" w:rsidRDefault="005B1B87" w:rsidP="000210D4">
            <w:pPr>
              <w:pStyle w:val="Body"/>
              <w:tabs>
                <w:tab w:val="left" w:pos="735"/>
              </w:tabs>
              <w:ind w:left="735" w:hanging="720"/>
              <w:rPr>
                <w:rFonts w:ascii="Calibri" w:eastAsia="Calibri" w:hAnsi="Calibri" w:cs="Calibri"/>
                <w:b/>
                <w:bCs/>
                <w:color w:val="FFFFFF" w:themeColor="background1"/>
              </w:rPr>
            </w:pPr>
            <w:r w:rsidRPr="00D408E9">
              <w:rPr>
                <w:rFonts w:ascii="Calibri" w:eastAsia="Calibri" w:hAnsi="Calibri" w:cs="Calibri"/>
                <w:b/>
                <w:bCs/>
                <w:color w:val="FFFFFF" w:themeColor="background1"/>
              </w:rPr>
              <w:t xml:space="preserve">DOCUMENTATION – The applicant organization must: </w:t>
            </w:r>
          </w:p>
        </w:tc>
        <w:tc>
          <w:tcPr>
            <w:tcW w:w="4770"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Mar>
              <w:top w:w="80" w:type="dxa"/>
              <w:left w:w="800" w:type="dxa"/>
              <w:bottom w:w="80" w:type="dxa"/>
              <w:right w:w="80" w:type="dxa"/>
            </w:tcMar>
          </w:tcPr>
          <w:p w14:paraId="45AD6158" w14:textId="77777777" w:rsidR="005B1B87" w:rsidRPr="0070151C" w:rsidRDefault="005B1B87" w:rsidP="00197337">
            <w:pPr>
              <w:jc w:val="center"/>
              <w:rPr>
                <w:rFonts w:ascii="Calibri" w:hAnsi="Calibri" w:cs="Calibri"/>
                <w:color w:val="FFFFFF" w:themeColor="background1"/>
                <w:sz w:val="18"/>
                <w:szCs w:val="18"/>
              </w:rPr>
            </w:pPr>
            <w:r w:rsidRPr="0070151C">
              <w:rPr>
                <w:rFonts w:ascii="Calibri" w:hAnsi="Calibri" w:cs="Calibri"/>
                <w:color w:val="FFFFFF" w:themeColor="background1"/>
                <w:sz w:val="18"/>
                <w:szCs w:val="18"/>
              </w:rPr>
              <w:t>Narrative</w:t>
            </w:r>
          </w:p>
          <w:p w14:paraId="277C41F0" w14:textId="77777777" w:rsidR="005B1B87" w:rsidRPr="00D408E9" w:rsidRDefault="005B1B87" w:rsidP="0070151C">
            <w:pPr>
              <w:ind w:hanging="794"/>
              <w:jc w:val="center"/>
              <w:rPr>
                <w:rFonts w:asciiTheme="majorHAnsi" w:hAnsiTheme="majorHAnsi"/>
                <w:color w:val="FFFFFF" w:themeColor="background1"/>
                <w:sz w:val="20"/>
                <w:szCs w:val="20"/>
              </w:rPr>
            </w:pPr>
            <w:r w:rsidRPr="0070151C">
              <w:rPr>
                <w:rFonts w:ascii="Calibri" w:hAnsi="Calibri" w:cs="Calibri"/>
                <w:color w:val="FFFFFF" w:themeColor="background1"/>
                <w:sz w:val="18"/>
                <w:szCs w:val="18"/>
              </w:rPr>
              <w:t>(Cite tab or Appendix for Specific Supporting Documentation)</w:t>
            </w:r>
          </w:p>
        </w:tc>
      </w:tr>
      <w:bookmarkEnd w:id="5"/>
      <w:tr w:rsidR="00B425C1" w14:paraId="541D47F4" w14:textId="77777777" w:rsidTr="005B1B87">
        <w:trPr>
          <w:trHeight w:val="1280"/>
        </w:trPr>
        <w:tc>
          <w:tcPr>
            <w:tcW w:w="5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AFA8C" w14:textId="68A92B29" w:rsidR="00B425C1" w:rsidRPr="001F34F7" w:rsidRDefault="00B425C1" w:rsidP="00B425C1">
            <w:pPr>
              <w:pStyle w:val="Body"/>
              <w:tabs>
                <w:tab w:val="left" w:pos="735"/>
              </w:tabs>
              <w:ind w:left="735" w:hanging="720"/>
              <w:rPr>
                <w:rFonts w:ascii="Calibri" w:eastAsia="Calibri" w:hAnsi="Calibri" w:cs="Calibri"/>
              </w:rPr>
            </w:pPr>
            <w:r w:rsidRPr="001F34F7">
              <w:rPr>
                <w:rFonts w:ascii="Calibri" w:eastAsia="Calibri" w:hAnsi="Calibri" w:cs="Calibri"/>
              </w:rPr>
              <w:t xml:space="preserve">9.5          </w:t>
            </w:r>
            <w:r w:rsidRPr="001F34F7">
              <w:rPr>
                <w:rFonts w:ascii="Calibri" w:hAnsi="Calibri" w:cs="Calibri"/>
                <w:b/>
              </w:rPr>
              <w:t>Provide</w:t>
            </w:r>
            <w:r w:rsidRPr="001F34F7">
              <w:rPr>
                <w:rFonts w:ascii="Calibri" w:hAnsi="Calibri" w:cs="Calibri"/>
              </w:rPr>
              <w:t xml:space="preserve"> annual summary data (e.g., numbers of candidate, pass rate, mean and standard deviation of scores, reliability, SEM, cut score) for first-time candidates, </w:t>
            </w:r>
            <w:proofErr w:type="spellStart"/>
            <w:r w:rsidRPr="001F34F7">
              <w:rPr>
                <w:rFonts w:ascii="Calibri" w:hAnsi="Calibri" w:cs="Calibri"/>
              </w:rPr>
              <w:t>retesters</w:t>
            </w:r>
            <w:proofErr w:type="spellEnd"/>
            <w:r w:rsidRPr="001F34F7">
              <w:rPr>
                <w:rFonts w:ascii="Calibri" w:hAnsi="Calibri" w:cs="Calibri"/>
              </w:rPr>
              <w:t>, recertifying candidates, and all candidates.  These data should also be disaggregated for candidates tested via different modes (i.e., computer vs. paper) and candidates tested in person vs. via remote proctoring if applicable.</w:t>
            </w:r>
          </w:p>
          <w:p w14:paraId="4D07F7EE" w14:textId="150A8F1A" w:rsidR="00B425C1" w:rsidRPr="00155910" w:rsidRDefault="00B425C1" w:rsidP="00B425C1">
            <w:pPr>
              <w:pStyle w:val="Body"/>
              <w:tabs>
                <w:tab w:val="left" w:pos="705"/>
              </w:tabs>
              <w:rPr>
                <w:rFonts w:ascii="Calibri" w:eastAsia="Calibri" w:hAnsi="Calibri" w:cs="Calibri"/>
              </w:rPr>
            </w:pPr>
            <w:r w:rsidRPr="001F34F7">
              <w:rPr>
                <w:rFonts w:ascii="Calibri" w:eastAsia="Calibri" w:hAnsi="Calibri" w:cs="Calibri"/>
              </w:rPr>
              <w:t xml:space="preserve">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45BF39E8" w14:textId="77777777" w:rsidR="00B425C1" w:rsidRPr="00F5070A" w:rsidRDefault="00B425C1" w:rsidP="00B425C1">
            <w:pPr>
              <w:rPr>
                <w:rFonts w:asciiTheme="majorHAnsi" w:hAnsiTheme="majorHAnsi"/>
                <w:sz w:val="20"/>
                <w:szCs w:val="20"/>
              </w:rPr>
            </w:pPr>
          </w:p>
        </w:tc>
      </w:tr>
    </w:tbl>
    <w:p w14:paraId="5EEA0BF8" w14:textId="77777777" w:rsidR="00DD2A19" w:rsidRDefault="00DD2A19">
      <w:pPr>
        <w:pStyle w:val="Heading4"/>
        <w:rPr>
          <w:rFonts w:ascii="Calibri" w:eastAsia="Calibri" w:hAnsi="Calibri" w:cs="Calibri"/>
          <w:sz w:val="20"/>
          <w:szCs w:val="20"/>
        </w:rPr>
      </w:pPr>
    </w:p>
    <w:p w14:paraId="6F1FEE9B" w14:textId="77777777" w:rsidR="001561F4" w:rsidRDefault="001561F4" w:rsidP="005B1B87">
      <w:pPr>
        <w:pStyle w:val="Body"/>
        <w:rPr>
          <w:rFonts w:ascii="Calibri" w:eastAsia="Calibri" w:hAnsi="Calibri" w:cs="Calibri"/>
          <w:b/>
          <w:bCs/>
        </w:rPr>
      </w:pPr>
    </w:p>
    <w:p w14:paraId="0FD2E1CB" w14:textId="56ED77F6" w:rsidR="005B1B87" w:rsidRDefault="005B1B87" w:rsidP="005B1B87">
      <w:pPr>
        <w:pStyle w:val="Body"/>
        <w:rPr>
          <w:rFonts w:ascii="Calibri" w:eastAsia="Calibri" w:hAnsi="Calibri" w:cs="Calibri"/>
          <w:b/>
          <w:bCs/>
        </w:rPr>
      </w:pPr>
      <w:r>
        <w:rPr>
          <w:rFonts w:ascii="Calibri" w:eastAsia="Calibri" w:hAnsi="Calibri" w:cs="Calibri"/>
          <w:b/>
          <w:bCs/>
        </w:rPr>
        <w:t>STANDARD 10</w:t>
      </w:r>
    </w:p>
    <w:p w14:paraId="282CD508" w14:textId="77777777" w:rsidR="005B1B87" w:rsidRDefault="005B1B87" w:rsidP="005B1B87">
      <w:pPr>
        <w:pStyle w:val="Heading"/>
      </w:pPr>
      <w:bookmarkStart w:id="6" w:name="_Toc9"/>
      <w:r>
        <w:t>TEST ADMINISTRATION</w:t>
      </w:r>
      <w:bookmarkEnd w:id="6"/>
    </w:p>
    <w:p w14:paraId="5AF554CB" w14:textId="77777777" w:rsidR="005B1B87" w:rsidRDefault="005B1B87" w:rsidP="005B1B87">
      <w:pPr>
        <w:pStyle w:val="Body"/>
        <w:rPr>
          <w:rFonts w:ascii="Calibri" w:eastAsia="Calibri" w:hAnsi="Calibri" w:cs="Calibri"/>
          <w:b/>
          <w:bCs/>
          <w:strike/>
        </w:rPr>
      </w:pPr>
    </w:p>
    <w:p w14:paraId="10C2D521" w14:textId="77777777" w:rsidR="005B1B87" w:rsidRDefault="005B1B87" w:rsidP="005B1B87">
      <w:pPr>
        <w:pStyle w:val="Body"/>
        <w:rPr>
          <w:rFonts w:ascii="Calibri" w:eastAsia="Calibri" w:hAnsi="Calibri" w:cs="Calibri"/>
          <w:b/>
          <w:bCs/>
        </w:rPr>
      </w:pPr>
      <w:r>
        <w:rPr>
          <w:rFonts w:ascii="Calibri" w:eastAsia="Calibri" w:hAnsi="Calibri" w:cs="Calibri"/>
          <w:b/>
          <w:bCs/>
        </w:rPr>
        <w:t>The certification examination is administered in a manner that minimizes construct-irrelevant variance and maintains examination security.</w:t>
      </w:r>
    </w:p>
    <w:p w14:paraId="53DA1B82" w14:textId="2846741F" w:rsidR="00DD2A19" w:rsidRDefault="00DD2A19">
      <w:pPr>
        <w:pStyle w:val="Heading4"/>
        <w:rPr>
          <w:rFonts w:ascii="Calibri" w:eastAsia="Calibri" w:hAnsi="Calibri" w:cs="Calibri"/>
          <w:sz w:val="20"/>
          <w:szCs w:val="20"/>
        </w:rPr>
      </w:pPr>
    </w:p>
    <w:tbl>
      <w:tblPr>
        <w:tblW w:w="105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37"/>
        <w:gridCol w:w="4770"/>
      </w:tblGrid>
      <w:tr w:rsidR="00D408E9" w14:paraId="1912BB6B" w14:textId="77777777" w:rsidTr="001561F4">
        <w:trPr>
          <w:trHeight w:val="850"/>
        </w:trPr>
        <w:tc>
          <w:tcPr>
            <w:tcW w:w="5737"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Mar>
              <w:top w:w="80" w:type="dxa"/>
              <w:left w:w="80" w:type="dxa"/>
              <w:bottom w:w="80" w:type="dxa"/>
              <w:right w:w="80" w:type="dxa"/>
            </w:tcMar>
          </w:tcPr>
          <w:p w14:paraId="070D2F07" w14:textId="77777777" w:rsidR="00D408E9" w:rsidRPr="00D408E9" w:rsidRDefault="00D408E9" w:rsidP="00160011">
            <w:pPr>
              <w:pStyle w:val="Body"/>
              <w:tabs>
                <w:tab w:val="left" w:pos="735"/>
              </w:tabs>
              <w:ind w:left="735" w:hanging="720"/>
              <w:rPr>
                <w:rFonts w:ascii="Calibri" w:eastAsia="Calibri" w:hAnsi="Calibri" w:cs="Calibri"/>
                <w:b/>
                <w:bCs/>
                <w:color w:val="FFFFFF" w:themeColor="background1"/>
              </w:rPr>
            </w:pPr>
          </w:p>
          <w:p w14:paraId="1FD1D63E" w14:textId="77777777" w:rsidR="00D408E9" w:rsidRPr="00D408E9" w:rsidRDefault="00D408E9" w:rsidP="00160011">
            <w:pPr>
              <w:pStyle w:val="Body"/>
              <w:tabs>
                <w:tab w:val="left" w:pos="735"/>
              </w:tabs>
              <w:ind w:left="735" w:hanging="720"/>
              <w:rPr>
                <w:rFonts w:ascii="Calibri" w:eastAsia="Calibri" w:hAnsi="Calibri" w:cs="Calibri"/>
                <w:b/>
                <w:bCs/>
                <w:color w:val="FFFFFF" w:themeColor="background1"/>
              </w:rPr>
            </w:pPr>
            <w:r w:rsidRPr="00D408E9">
              <w:rPr>
                <w:rFonts w:ascii="Calibri" w:eastAsia="Calibri" w:hAnsi="Calibri" w:cs="Calibri"/>
                <w:b/>
                <w:bCs/>
                <w:color w:val="FFFFFF" w:themeColor="background1"/>
              </w:rPr>
              <w:t xml:space="preserve">DOCUMENTATION – The applicant organization must: </w:t>
            </w:r>
          </w:p>
        </w:tc>
        <w:tc>
          <w:tcPr>
            <w:tcW w:w="4770"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Mar>
              <w:top w:w="80" w:type="dxa"/>
              <w:left w:w="800" w:type="dxa"/>
              <w:bottom w:w="80" w:type="dxa"/>
              <w:right w:w="80" w:type="dxa"/>
            </w:tcMar>
          </w:tcPr>
          <w:p w14:paraId="5014D2ED" w14:textId="77777777" w:rsidR="00D408E9" w:rsidRPr="00D408E9" w:rsidRDefault="00D408E9" w:rsidP="00160011">
            <w:pPr>
              <w:jc w:val="center"/>
              <w:rPr>
                <w:rFonts w:asciiTheme="majorHAnsi" w:hAnsiTheme="majorHAnsi"/>
                <w:color w:val="FFFFFF" w:themeColor="background1"/>
                <w:sz w:val="20"/>
                <w:szCs w:val="20"/>
              </w:rPr>
            </w:pPr>
            <w:r w:rsidRPr="00D408E9">
              <w:rPr>
                <w:rFonts w:asciiTheme="majorHAnsi" w:hAnsiTheme="majorHAnsi"/>
                <w:color w:val="FFFFFF" w:themeColor="background1"/>
                <w:sz w:val="20"/>
                <w:szCs w:val="20"/>
              </w:rPr>
              <w:t>Narrative</w:t>
            </w:r>
          </w:p>
          <w:p w14:paraId="49ECB619" w14:textId="77777777" w:rsidR="00D408E9" w:rsidRPr="00D408E9" w:rsidRDefault="00D408E9" w:rsidP="00160011">
            <w:pPr>
              <w:jc w:val="center"/>
              <w:rPr>
                <w:rFonts w:asciiTheme="majorHAnsi" w:hAnsiTheme="majorHAnsi"/>
                <w:color w:val="FFFFFF" w:themeColor="background1"/>
                <w:sz w:val="20"/>
                <w:szCs w:val="20"/>
              </w:rPr>
            </w:pPr>
            <w:r w:rsidRPr="00D408E9">
              <w:rPr>
                <w:rFonts w:asciiTheme="majorHAnsi" w:hAnsiTheme="majorHAnsi"/>
                <w:color w:val="FFFFFF" w:themeColor="background1"/>
                <w:sz w:val="20"/>
                <w:szCs w:val="20"/>
              </w:rPr>
              <w:t>(Cite tab or Appendix for Specific Supporting Documentation)</w:t>
            </w:r>
          </w:p>
        </w:tc>
      </w:tr>
      <w:tr w:rsidR="00DD2A19" w14:paraId="28300304" w14:textId="77777777" w:rsidTr="00D408E9">
        <w:trPr>
          <w:trHeight w:val="1550"/>
        </w:trPr>
        <w:tc>
          <w:tcPr>
            <w:tcW w:w="5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7340E" w14:textId="2BA15DBC" w:rsidR="00084B3B" w:rsidRPr="001F34F7" w:rsidRDefault="00084B3B" w:rsidP="0070151C">
            <w:pPr>
              <w:pStyle w:val="Body"/>
              <w:ind w:left="795" w:hanging="795"/>
              <w:rPr>
                <w:rFonts w:ascii="Calibri" w:eastAsia="Calibri" w:hAnsi="Calibri" w:cs="Calibri"/>
              </w:rPr>
            </w:pPr>
            <w:r w:rsidRPr="001F34F7">
              <w:rPr>
                <w:rFonts w:ascii="Calibri" w:eastAsia="Calibri" w:hAnsi="Calibri" w:cs="Calibri"/>
              </w:rPr>
              <w:t xml:space="preserve">10.1          </w:t>
            </w:r>
            <w:r w:rsidRPr="001F34F7">
              <w:rPr>
                <w:rFonts w:ascii="Calibri" w:eastAsia="Calibri" w:hAnsi="Calibri" w:cs="Calibri"/>
                <w:b/>
                <w:bCs/>
              </w:rPr>
              <w:t xml:space="preserve">Provide </w:t>
            </w:r>
            <w:r w:rsidRPr="001F34F7">
              <w:rPr>
                <w:rFonts w:ascii="Calibri" w:eastAsia="Calibri" w:hAnsi="Calibri" w:cs="Calibri"/>
              </w:rPr>
              <w:t xml:space="preserve">evidence that proctors for in-person and/or </w:t>
            </w:r>
            <w:r w:rsidR="00A6495E">
              <w:rPr>
                <w:rFonts w:ascii="Calibri" w:eastAsia="Calibri" w:hAnsi="Calibri" w:cs="Calibri"/>
              </w:rPr>
              <w:t xml:space="preserve">remote </w:t>
            </w:r>
            <w:r w:rsidR="00A6495E" w:rsidRPr="001F34F7">
              <w:rPr>
                <w:rFonts w:ascii="Calibri" w:eastAsia="Calibri" w:hAnsi="Calibri" w:cs="Calibri"/>
              </w:rPr>
              <w:t>delivery are trained for their specific</w:t>
            </w:r>
            <w:r w:rsidRPr="001F34F7">
              <w:rPr>
                <w:rFonts w:ascii="Calibri" w:eastAsia="Calibri" w:hAnsi="Calibri" w:cs="Calibri"/>
              </w:rPr>
              <w:t xml:space="preserve">                responsibilities. </w:t>
            </w:r>
          </w:p>
          <w:p w14:paraId="6744E370" w14:textId="77777777" w:rsidR="00084B3B" w:rsidRPr="001F34F7" w:rsidRDefault="00084B3B" w:rsidP="00084B3B">
            <w:pPr>
              <w:pStyle w:val="Body"/>
              <w:tabs>
                <w:tab w:val="left" w:pos="887"/>
              </w:tabs>
              <w:rPr>
                <w:rFonts w:ascii="Calibri" w:eastAsia="Calibri" w:hAnsi="Calibri" w:cs="Calibri"/>
              </w:rPr>
            </w:pPr>
            <w:r w:rsidRPr="001F34F7">
              <w:rPr>
                <w:rFonts w:ascii="Calibri" w:eastAsia="Calibri" w:hAnsi="Calibri" w:cs="Calibri"/>
              </w:rPr>
              <w:t xml:space="preserve">                  Examples include a copy of the Proctor Training Manual,</w:t>
            </w:r>
          </w:p>
          <w:p w14:paraId="58D61E2C" w14:textId="6895C65E" w:rsidR="00084B3B" w:rsidRPr="001F34F7" w:rsidRDefault="00084B3B" w:rsidP="0070151C">
            <w:pPr>
              <w:pStyle w:val="Body"/>
              <w:tabs>
                <w:tab w:val="left" w:pos="887"/>
              </w:tabs>
              <w:ind w:left="795" w:hanging="795"/>
              <w:rPr>
                <w:rFonts w:ascii="Calibri" w:eastAsia="Calibri" w:hAnsi="Calibri" w:cs="Calibri"/>
              </w:rPr>
            </w:pPr>
            <w:r w:rsidRPr="001F34F7">
              <w:rPr>
                <w:rFonts w:ascii="Calibri" w:eastAsia="Calibri" w:hAnsi="Calibri" w:cs="Calibri"/>
              </w:rPr>
              <w:t xml:space="preserve">                  screen shots from the test vendor or certifying </w:t>
            </w:r>
            <w:r w:rsidR="00A6495E" w:rsidRPr="00A6495E">
              <w:rPr>
                <w:rFonts w:ascii="Calibri" w:eastAsia="Calibri" w:hAnsi="Calibri" w:cs="Calibri"/>
              </w:rPr>
              <w:t>organization</w:t>
            </w:r>
            <w:r w:rsidRPr="001F34F7">
              <w:rPr>
                <w:rFonts w:ascii="Calibri" w:eastAsia="Calibri" w:hAnsi="Calibri" w:cs="Calibri"/>
              </w:rPr>
              <w:t xml:space="preserve"> </w:t>
            </w:r>
            <w:r w:rsidR="00A6495E" w:rsidRPr="001F34F7">
              <w:rPr>
                <w:rFonts w:ascii="Calibri" w:eastAsia="Calibri" w:hAnsi="Calibri" w:cs="Calibri"/>
              </w:rPr>
              <w:t>that clearly indicate such, etc.</w:t>
            </w:r>
          </w:p>
          <w:p w14:paraId="1BAF7243" w14:textId="54E7F284" w:rsidR="00DD2A19" w:rsidRPr="00ED6F03" w:rsidRDefault="00084B3B" w:rsidP="00084B3B">
            <w:pPr>
              <w:pStyle w:val="Body"/>
              <w:tabs>
                <w:tab w:val="left" w:pos="720"/>
              </w:tabs>
              <w:rPr>
                <w:rFonts w:ascii="Calibri" w:eastAsia="Calibri" w:hAnsi="Calibri" w:cs="Calibri"/>
              </w:rPr>
            </w:pPr>
            <w:r w:rsidRPr="001F34F7">
              <w:rPr>
                <w:rFonts w:ascii="Calibri" w:eastAsia="Calibri" w:hAnsi="Calibri" w:cs="Calibri"/>
              </w:rPr>
              <w:t xml:space="preserve">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F4111" w14:textId="77777777" w:rsidR="00DD2A19" w:rsidRPr="00F5070A" w:rsidRDefault="00DD2A19">
            <w:pPr>
              <w:rPr>
                <w:rFonts w:asciiTheme="majorHAnsi" w:hAnsiTheme="majorHAnsi"/>
                <w:sz w:val="20"/>
                <w:szCs w:val="20"/>
              </w:rPr>
            </w:pPr>
          </w:p>
        </w:tc>
      </w:tr>
      <w:tr w:rsidR="00A06557" w14:paraId="62F1E504" w14:textId="77777777" w:rsidTr="00D408E9">
        <w:trPr>
          <w:trHeight w:val="1440"/>
        </w:trPr>
        <w:tc>
          <w:tcPr>
            <w:tcW w:w="5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405FD" w14:textId="6C82B95A" w:rsidR="00A06557" w:rsidRPr="001F34F7" w:rsidRDefault="00A06557" w:rsidP="00A06557">
            <w:pPr>
              <w:pStyle w:val="Body"/>
              <w:tabs>
                <w:tab w:val="left" w:pos="690"/>
              </w:tabs>
              <w:rPr>
                <w:rFonts w:ascii="Calibri" w:eastAsia="Calibri" w:hAnsi="Calibri" w:cs="Calibri"/>
              </w:rPr>
            </w:pPr>
            <w:r w:rsidRPr="001F34F7">
              <w:rPr>
                <w:rFonts w:ascii="Calibri" w:eastAsia="Calibri" w:hAnsi="Calibri" w:cs="Calibri"/>
              </w:rPr>
              <w:t>10.2</w:t>
            </w:r>
            <w:r w:rsidRPr="001F34F7">
              <w:rPr>
                <w:rFonts w:ascii="Calibri" w:eastAsia="Calibri" w:hAnsi="Calibri" w:cs="Calibri"/>
                <w:b/>
                <w:bCs/>
              </w:rPr>
              <w:t xml:space="preserve">           Provide p</w:t>
            </w:r>
            <w:r w:rsidRPr="001F34F7">
              <w:rPr>
                <w:rFonts w:ascii="Calibri" w:eastAsia="Calibri" w:hAnsi="Calibri" w:cs="Calibri"/>
              </w:rPr>
              <w:t xml:space="preserve">olicies regarding maintenance of standardized   </w:t>
            </w:r>
          </w:p>
          <w:p w14:paraId="46FED08D" w14:textId="66237215" w:rsidR="00A06557" w:rsidRDefault="00A06557" w:rsidP="00A06557">
            <w:pPr>
              <w:pStyle w:val="Body"/>
              <w:tabs>
                <w:tab w:val="left" w:pos="690"/>
              </w:tabs>
              <w:rPr>
                <w:rFonts w:ascii="Calibri" w:eastAsia="Calibri" w:hAnsi="Calibri" w:cs="Calibri"/>
              </w:rPr>
            </w:pPr>
            <w:r w:rsidRPr="001F34F7">
              <w:rPr>
                <w:rFonts w:ascii="Calibri" w:eastAsia="Calibri" w:hAnsi="Calibri" w:cs="Calibri"/>
              </w:rPr>
              <w:t xml:space="preserve">                   testing and secure testing conditions across all delivery</w:t>
            </w:r>
          </w:p>
          <w:p w14:paraId="78DC7D8C" w14:textId="0C9BF0EE" w:rsidR="00A06557" w:rsidRDefault="00A06557" w:rsidP="00A06557">
            <w:pPr>
              <w:pStyle w:val="Body"/>
              <w:tabs>
                <w:tab w:val="left" w:pos="690"/>
              </w:tabs>
              <w:rPr>
                <w:rFonts w:ascii="Calibri" w:eastAsia="Calibri" w:hAnsi="Calibri" w:cs="Calibri"/>
              </w:rPr>
            </w:pPr>
            <w:r>
              <w:rPr>
                <w:rFonts w:ascii="Calibri" w:eastAsia="Calibri" w:hAnsi="Calibri" w:cs="Calibri"/>
              </w:rPr>
              <w:t xml:space="preserve">                   </w:t>
            </w:r>
            <w:r w:rsidRPr="001F34F7">
              <w:rPr>
                <w:rFonts w:ascii="Calibri" w:eastAsia="Calibri" w:hAnsi="Calibri" w:cs="Calibri"/>
              </w:rPr>
              <w:t xml:space="preserve">methods. </w:t>
            </w:r>
            <w:r w:rsidRPr="001F34F7">
              <w:rPr>
                <w:rFonts w:ascii="Calibri" w:hAnsi="Calibri" w:cs="Calibri"/>
              </w:rPr>
              <w:t xml:space="preserve"> If your organization utilizes remote proctoring,</w:t>
            </w:r>
          </w:p>
          <w:p w14:paraId="6B47DAD1" w14:textId="77777777" w:rsidR="00A06557" w:rsidRDefault="00A06557" w:rsidP="00A06557">
            <w:pPr>
              <w:pStyle w:val="Body"/>
              <w:tabs>
                <w:tab w:val="left" w:pos="690"/>
              </w:tabs>
              <w:rPr>
                <w:rFonts w:ascii="Calibri" w:hAnsi="Calibri" w:cs="Calibri"/>
              </w:rPr>
            </w:pPr>
            <w:r>
              <w:rPr>
                <w:rFonts w:ascii="Calibri" w:hAnsi="Calibri" w:cs="Calibri"/>
              </w:rPr>
              <w:t xml:space="preserve">                   </w:t>
            </w:r>
            <w:r w:rsidRPr="001F34F7">
              <w:rPr>
                <w:rFonts w:ascii="Calibri" w:hAnsi="Calibri" w:cs="Calibri"/>
              </w:rPr>
              <w:t>provide procedures for ensuring standardized and</w:t>
            </w:r>
            <w:r>
              <w:rPr>
                <w:rFonts w:ascii="Calibri" w:hAnsi="Calibri" w:cs="Calibri"/>
              </w:rPr>
              <w:t xml:space="preserve"> </w:t>
            </w:r>
            <w:r w:rsidRPr="001F34F7">
              <w:rPr>
                <w:rFonts w:ascii="Calibri" w:hAnsi="Calibri" w:cs="Calibri"/>
              </w:rPr>
              <w:t>secure</w:t>
            </w:r>
          </w:p>
          <w:p w14:paraId="718033E8" w14:textId="2D470DDF" w:rsidR="00A06557" w:rsidRPr="00084B3B" w:rsidRDefault="00A06557" w:rsidP="00A06557">
            <w:pPr>
              <w:pStyle w:val="Body"/>
              <w:tabs>
                <w:tab w:val="left" w:pos="690"/>
              </w:tabs>
              <w:rPr>
                <w:rFonts w:ascii="Calibri" w:hAnsi="Calibri" w:cs="Calibri"/>
              </w:rPr>
            </w:pPr>
            <w:r>
              <w:rPr>
                <w:rFonts w:ascii="Calibri" w:hAnsi="Calibri" w:cs="Calibri"/>
              </w:rPr>
              <w:t xml:space="preserve">                   </w:t>
            </w:r>
            <w:r w:rsidRPr="001F34F7">
              <w:rPr>
                <w:rFonts w:ascii="Calibri" w:hAnsi="Calibri" w:cs="Calibri"/>
              </w:rPr>
              <w:t>test delivery outside testing centers.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44BEE" w14:textId="77777777" w:rsidR="00A06557" w:rsidRPr="00F5070A" w:rsidRDefault="00A06557" w:rsidP="00084B3B">
            <w:pPr>
              <w:rPr>
                <w:rFonts w:asciiTheme="majorHAnsi" w:hAnsiTheme="majorHAnsi"/>
                <w:sz w:val="20"/>
                <w:szCs w:val="20"/>
              </w:rPr>
            </w:pPr>
          </w:p>
        </w:tc>
      </w:tr>
    </w:tbl>
    <w:p w14:paraId="124B330D" w14:textId="77777777" w:rsidR="00DD2A19" w:rsidRDefault="00DD2A19">
      <w:pPr>
        <w:pStyle w:val="Body"/>
        <w:widowControl w:val="0"/>
        <w:rPr>
          <w:rFonts w:ascii="Calibri" w:eastAsia="Calibri" w:hAnsi="Calibri" w:cs="Calibri"/>
        </w:rPr>
      </w:pPr>
    </w:p>
    <w:p w14:paraId="69F225EE" w14:textId="433D58A6" w:rsidR="00DD2A19" w:rsidRDefault="00DD2A19">
      <w:pPr>
        <w:pStyle w:val="Body"/>
        <w:rPr>
          <w:rFonts w:ascii="Calibri" w:eastAsia="Calibri" w:hAnsi="Calibri" w:cs="Calibri"/>
        </w:rPr>
      </w:pPr>
    </w:p>
    <w:p w14:paraId="237EC09B" w14:textId="50AFCE27" w:rsidR="001561F4" w:rsidRDefault="001561F4">
      <w:pPr>
        <w:pStyle w:val="Body"/>
        <w:rPr>
          <w:rFonts w:ascii="Calibri" w:eastAsia="Calibri" w:hAnsi="Calibri" w:cs="Calibri"/>
        </w:rPr>
      </w:pPr>
    </w:p>
    <w:p w14:paraId="038491D4" w14:textId="0FDB1576" w:rsidR="001561F4" w:rsidRDefault="001561F4">
      <w:pPr>
        <w:pStyle w:val="Body"/>
        <w:rPr>
          <w:rFonts w:ascii="Calibri" w:eastAsia="Calibri" w:hAnsi="Calibri" w:cs="Calibri"/>
        </w:rPr>
      </w:pPr>
    </w:p>
    <w:p w14:paraId="62D3001F" w14:textId="53B87E33" w:rsidR="001561F4" w:rsidRDefault="001561F4">
      <w:pPr>
        <w:pStyle w:val="Body"/>
        <w:rPr>
          <w:rFonts w:ascii="Calibri" w:eastAsia="Calibri" w:hAnsi="Calibri" w:cs="Calibri"/>
        </w:rPr>
      </w:pPr>
    </w:p>
    <w:p w14:paraId="67CE5BAB" w14:textId="729F9399" w:rsidR="001561F4" w:rsidRDefault="001561F4">
      <w:pPr>
        <w:pStyle w:val="Body"/>
        <w:rPr>
          <w:rFonts w:ascii="Calibri" w:eastAsia="Calibri" w:hAnsi="Calibri" w:cs="Calibri"/>
        </w:rPr>
      </w:pPr>
    </w:p>
    <w:p w14:paraId="6EEE44AC" w14:textId="6BB64460" w:rsidR="001561F4" w:rsidRDefault="001561F4">
      <w:pPr>
        <w:pStyle w:val="Body"/>
        <w:rPr>
          <w:rFonts w:ascii="Calibri" w:eastAsia="Calibri" w:hAnsi="Calibri" w:cs="Calibri"/>
        </w:rPr>
      </w:pPr>
    </w:p>
    <w:p w14:paraId="4A6A17D4" w14:textId="6320EAB8" w:rsidR="001561F4" w:rsidRDefault="001561F4">
      <w:pPr>
        <w:pStyle w:val="Body"/>
        <w:rPr>
          <w:rFonts w:ascii="Calibri" w:eastAsia="Calibri" w:hAnsi="Calibri" w:cs="Calibri"/>
        </w:rPr>
      </w:pPr>
    </w:p>
    <w:p w14:paraId="00D9725C" w14:textId="3104DAE9" w:rsidR="001561F4" w:rsidRDefault="001561F4">
      <w:pPr>
        <w:pStyle w:val="Body"/>
        <w:rPr>
          <w:rFonts w:ascii="Calibri" w:eastAsia="Calibri" w:hAnsi="Calibri" w:cs="Calibri"/>
        </w:rPr>
      </w:pPr>
    </w:p>
    <w:p w14:paraId="224EEBEC" w14:textId="48BD8274" w:rsidR="001561F4" w:rsidRDefault="001561F4">
      <w:pPr>
        <w:pStyle w:val="Body"/>
        <w:rPr>
          <w:rFonts w:ascii="Calibri" w:eastAsia="Calibri" w:hAnsi="Calibri" w:cs="Calibri"/>
        </w:rPr>
      </w:pPr>
    </w:p>
    <w:p w14:paraId="294289CD" w14:textId="78AD3D9C" w:rsidR="001561F4" w:rsidRDefault="001561F4">
      <w:pPr>
        <w:pStyle w:val="Body"/>
        <w:rPr>
          <w:rFonts w:ascii="Calibri" w:eastAsia="Calibri" w:hAnsi="Calibri" w:cs="Calibri"/>
        </w:rPr>
      </w:pPr>
    </w:p>
    <w:p w14:paraId="1DB4C838" w14:textId="77777777" w:rsidR="00D408E9" w:rsidRDefault="00D408E9" w:rsidP="00D408E9">
      <w:pPr>
        <w:pStyle w:val="Body"/>
        <w:rPr>
          <w:rFonts w:ascii="Calibri" w:eastAsia="Calibri" w:hAnsi="Calibri" w:cs="Calibri"/>
          <w:b/>
          <w:bCs/>
        </w:rPr>
      </w:pPr>
      <w:r>
        <w:rPr>
          <w:rFonts w:ascii="Calibri" w:eastAsia="Calibri" w:hAnsi="Calibri" w:cs="Calibri"/>
          <w:b/>
          <w:bCs/>
        </w:rPr>
        <w:lastRenderedPageBreak/>
        <w:t>STANDARD 11</w:t>
      </w:r>
    </w:p>
    <w:p w14:paraId="3B71DF71" w14:textId="77777777" w:rsidR="00D408E9" w:rsidRDefault="00D408E9" w:rsidP="00D408E9">
      <w:pPr>
        <w:pStyle w:val="Heading"/>
      </w:pPr>
      <w:bookmarkStart w:id="7" w:name="_Toc10"/>
      <w:r>
        <w:t>TEST SECURITY</w:t>
      </w:r>
      <w:bookmarkEnd w:id="7"/>
    </w:p>
    <w:p w14:paraId="1A95B663" w14:textId="77777777" w:rsidR="00D408E9" w:rsidRDefault="00D408E9" w:rsidP="00D408E9">
      <w:pPr>
        <w:pStyle w:val="Body"/>
        <w:rPr>
          <w:rFonts w:ascii="Calibri" w:eastAsia="Calibri" w:hAnsi="Calibri" w:cs="Calibri"/>
          <w:b/>
          <w:bCs/>
        </w:rPr>
      </w:pPr>
    </w:p>
    <w:p w14:paraId="7C82C09D" w14:textId="77777777" w:rsidR="00D408E9" w:rsidRDefault="00D408E9" w:rsidP="00D408E9">
      <w:pPr>
        <w:pStyle w:val="Body"/>
        <w:rPr>
          <w:rFonts w:ascii="Calibri" w:eastAsia="Calibri" w:hAnsi="Calibri" w:cs="Calibri"/>
          <w:b/>
          <w:bCs/>
        </w:rPr>
      </w:pPr>
      <w:r>
        <w:rPr>
          <w:rFonts w:ascii="Calibri" w:eastAsia="Calibri" w:hAnsi="Calibri" w:cs="Calibri"/>
          <w:b/>
          <w:bCs/>
        </w:rPr>
        <w:t>Procedures are in place to maximize the security of all certification examination materials.</w:t>
      </w:r>
    </w:p>
    <w:p w14:paraId="0A7D2B9E" w14:textId="7EFF0D35" w:rsidR="007C0E26" w:rsidRDefault="007C0E26">
      <w:pPr>
        <w:pStyle w:val="Body"/>
        <w:rPr>
          <w:rFonts w:ascii="Calibri" w:eastAsia="Calibri" w:hAnsi="Calibri" w:cs="Calibri"/>
        </w:rPr>
      </w:pPr>
    </w:p>
    <w:tbl>
      <w:tblPr>
        <w:tblW w:w="105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37"/>
        <w:gridCol w:w="4770"/>
      </w:tblGrid>
      <w:tr w:rsidR="00D408E9" w14:paraId="1287C540" w14:textId="77777777" w:rsidTr="001561F4">
        <w:trPr>
          <w:trHeight w:val="850"/>
        </w:trPr>
        <w:tc>
          <w:tcPr>
            <w:tcW w:w="5737"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Mar>
              <w:top w:w="80" w:type="dxa"/>
              <w:left w:w="80" w:type="dxa"/>
              <w:bottom w:w="80" w:type="dxa"/>
              <w:right w:w="80" w:type="dxa"/>
            </w:tcMar>
          </w:tcPr>
          <w:p w14:paraId="78F8AB07" w14:textId="77777777" w:rsidR="00D408E9" w:rsidRPr="00D408E9" w:rsidRDefault="00D408E9" w:rsidP="00160011">
            <w:pPr>
              <w:pStyle w:val="Body"/>
              <w:tabs>
                <w:tab w:val="left" w:pos="735"/>
              </w:tabs>
              <w:ind w:left="735" w:hanging="720"/>
              <w:rPr>
                <w:rFonts w:ascii="Calibri" w:eastAsia="Calibri" w:hAnsi="Calibri" w:cs="Calibri"/>
                <w:b/>
                <w:bCs/>
                <w:color w:val="FFFFFF" w:themeColor="background1"/>
              </w:rPr>
            </w:pPr>
          </w:p>
          <w:p w14:paraId="76C632DC" w14:textId="77777777" w:rsidR="00D408E9" w:rsidRPr="00D408E9" w:rsidRDefault="00D408E9" w:rsidP="00160011">
            <w:pPr>
              <w:pStyle w:val="Body"/>
              <w:tabs>
                <w:tab w:val="left" w:pos="735"/>
              </w:tabs>
              <w:ind w:left="735" w:hanging="720"/>
              <w:rPr>
                <w:rFonts w:ascii="Calibri" w:eastAsia="Calibri" w:hAnsi="Calibri" w:cs="Calibri"/>
                <w:b/>
                <w:bCs/>
                <w:color w:val="FFFFFF" w:themeColor="background1"/>
              </w:rPr>
            </w:pPr>
            <w:r w:rsidRPr="00D408E9">
              <w:rPr>
                <w:rFonts w:ascii="Calibri" w:eastAsia="Calibri" w:hAnsi="Calibri" w:cs="Calibri"/>
                <w:b/>
                <w:bCs/>
                <w:color w:val="FFFFFF" w:themeColor="background1"/>
              </w:rPr>
              <w:t xml:space="preserve">DOCUMENTATION – The applicant organization must: </w:t>
            </w:r>
          </w:p>
        </w:tc>
        <w:tc>
          <w:tcPr>
            <w:tcW w:w="4770"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Mar>
              <w:top w:w="80" w:type="dxa"/>
              <w:left w:w="800" w:type="dxa"/>
              <w:bottom w:w="80" w:type="dxa"/>
              <w:right w:w="80" w:type="dxa"/>
            </w:tcMar>
          </w:tcPr>
          <w:p w14:paraId="2C9A23ED" w14:textId="77777777" w:rsidR="00D408E9" w:rsidRPr="0070151C" w:rsidRDefault="00D408E9" w:rsidP="00160011">
            <w:pPr>
              <w:jc w:val="center"/>
              <w:rPr>
                <w:rFonts w:ascii="Calibri" w:hAnsi="Calibri" w:cs="Calibri"/>
                <w:color w:val="FFFFFF" w:themeColor="background1"/>
                <w:sz w:val="18"/>
                <w:szCs w:val="18"/>
              </w:rPr>
            </w:pPr>
            <w:r w:rsidRPr="0070151C">
              <w:rPr>
                <w:rFonts w:ascii="Calibri" w:hAnsi="Calibri" w:cs="Calibri"/>
                <w:color w:val="FFFFFF" w:themeColor="background1"/>
                <w:sz w:val="18"/>
                <w:szCs w:val="18"/>
              </w:rPr>
              <w:t>Narrative</w:t>
            </w:r>
          </w:p>
          <w:p w14:paraId="3060F445" w14:textId="77777777" w:rsidR="00D408E9" w:rsidRPr="00D408E9" w:rsidRDefault="00D408E9" w:rsidP="0070151C">
            <w:pPr>
              <w:ind w:hanging="704"/>
              <w:jc w:val="center"/>
              <w:rPr>
                <w:rFonts w:asciiTheme="majorHAnsi" w:hAnsiTheme="majorHAnsi"/>
                <w:color w:val="FFFFFF" w:themeColor="background1"/>
                <w:sz w:val="20"/>
                <w:szCs w:val="20"/>
              </w:rPr>
            </w:pPr>
            <w:r w:rsidRPr="0070151C">
              <w:rPr>
                <w:rFonts w:ascii="Calibri" w:hAnsi="Calibri" w:cs="Calibri"/>
                <w:color w:val="FFFFFF" w:themeColor="background1"/>
                <w:sz w:val="18"/>
                <w:szCs w:val="18"/>
              </w:rPr>
              <w:t>(Cite tab or Appendix for Specific Supporting Documentation)</w:t>
            </w:r>
          </w:p>
        </w:tc>
      </w:tr>
      <w:tr w:rsidR="007F5E1B" w14:paraId="1AD3F1CC" w14:textId="77777777" w:rsidTr="00197337">
        <w:trPr>
          <w:trHeight w:val="1770"/>
        </w:trPr>
        <w:tc>
          <w:tcPr>
            <w:tcW w:w="573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7B5EDB9" w14:textId="2168D7BB" w:rsidR="007F5E1B" w:rsidRPr="00A04DAB" w:rsidRDefault="007F5E1B" w:rsidP="007F5E1B">
            <w:pPr>
              <w:pStyle w:val="Body"/>
              <w:ind w:left="735" w:hanging="735"/>
              <w:rPr>
                <w:rFonts w:ascii="Calibri" w:eastAsia="Calibri" w:hAnsi="Calibri" w:cs="Calibri"/>
              </w:rPr>
            </w:pPr>
            <w:r w:rsidRPr="00A04DAB">
              <w:rPr>
                <w:rFonts w:ascii="Calibri" w:eastAsia="Calibri" w:hAnsi="Calibri" w:cs="Calibri"/>
              </w:rPr>
              <w:t xml:space="preserve">11.2        If remote proctoring is utilized, </w:t>
            </w:r>
            <w:r w:rsidRPr="00A04DAB">
              <w:rPr>
                <w:rFonts w:ascii="Calibri" w:eastAsia="Calibri" w:hAnsi="Calibri" w:cs="Calibri"/>
                <w:b/>
                <w:bCs/>
              </w:rPr>
              <w:t xml:space="preserve">provide </w:t>
            </w:r>
            <w:r w:rsidRPr="00A04DAB">
              <w:rPr>
                <w:rFonts w:ascii="Calibri" w:eastAsia="Calibri" w:hAnsi="Calibri" w:cs="Calibri"/>
                <w:bCs/>
              </w:rPr>
              <w:t xml:space="preserve">additional </w:t>
            </w:r>
            <w:r w:rsidRPr="00A04DAB">
              <w:rPr>
                <w:rFonts w:ascii="Calibri" w:eastAsia="Calibri" w:hAnsi="Calibri" w:cs="Calibri"/>
              </w:rPr>
              <w:t>documentation specific to maintaining security in a non-</w:t>
            </w:r>
          </w:p>
          <w:p w14:paraId="1170F8B9" w14:textId="696D8FB9" w:rsidR="007F5E1B" w:rsidRPr="00A04DAB" w:rsidRDefault="007F5E1B" w:rsidP="007F5E1B">
            <w:pPr>
              <w:pStyle w:val="Body"/>
              <w:ind w:left="720"/>
              <w:rPr>
                <w:rFonts w:ascii="Calibri" w:eastAsia="Calibri" w:hAnsi="Calibri" w:cs="Calibri"/>
              </w:rPr>
            </w:pPr>
            <w:r w:rsidRPr="00A04DAB">
              <w:rPr>
                <w:rFonts w:ascii="Calibri" w:eastAsia="Calibri" w:hAnsi="Calibri" w:cs="Calibri"/>
              </w:rPr>
              <w:t>secure environment: Examples include, but are not limited to, scanning candidates’ environment, definition of irregular behavior</w:t>
            </w:r>
            <w:r w:rsidRPr="00A04DAB">
              <w:rPr>
                <w:rFonts w:ascii="Calibri" w:eastAsia="Times New Roman" w:hAnsi="Calibri" w:cs="Calibri"/>
                <w:color w:val="202124"/>
                <w:spacing w:val="3"/>
              </w:rPr>
              <w:t xml:space="preserve"> ability to detect irregular behavior in real time, and maximum number of candidates being monitored at any given time.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28C7A" w14:textId="77777777" w:rsidR="007F5E1B" w:rsidRPr="00F5070A" w:rsidRDefault="007F5E1B" w:rsidP="007F5E1B">
            <w:pPr>
              <w:rPr>
                <w:rFonts w:asciiTheme="majorHAnsi" w:hAnsiTheme="majorHAnsi"/>
              </w:rPr>
            </w:pPr>
          </w:p>
        </w:tc>
      </w:tr>
      <w:tr w:rsidR="007F5E1B" w14:paraId="1766417B" w14:textId="77777777" w:rsidTr="00197337">
        <w:trPr>
          <w:trHeight w:val="1770"/>
        </w:trPr>
        <w:tc>
          <w:tcPr>
            <w:tcW w:w="573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964A0F0" w14:textId="0A126456" w:rsidR="007F5E1B" w:rsidRPr="00A04DAB" w:rsidRDefault="007F5E1B" w:rsidP="007F5E1B">
            <w:pPr>
              <w:pStyle w:val="Body"/>
              <w:rPr>
                <w:rFonts w:ascii="Calibri" w:eastAsia="Calibri" w:hAnsi="Calibri" w:cs="Calibri"/>
              </w:rPr>
            </w:pPr>
            <w:r w:rsidRPr="00A04DAB">
              <w:rPr>
                <w:rFonts w:ascii="Calibri" w:eastAsia="Calibri" w:hAnsi="Calibri" w:cs="Calibri"/>
              </w:rPr>
              <w:t xml:space="preserve">11.2a.     </w:t>
            </w:r>
            <w:r w:rsidRPr="00A04DAB">
              <w:rPr>
                <w:rFonts w:ascii="Calibri" w:eastAsia="Calibri" w:hAnsi="Calibri" w:cs="Calibri"/>
                <w:b/>
                <w:bCs/>
              </w:rPr>
              <w:t xml:space="preserve">Vendor’s </w:t>
            </w:r>
            <w:r w:rsidRPr="00A04DAB">
              <w:rPr>
                <w:rFonts w:ascii="Calibri" w:eastAsia="Calibri" w:hAnsi="Calibri" w:cs="Calibri"/>
              </w:rPr>
              <w:t>security measures.</w:t>
            </w:r>
          </w:p>
          <w:p w14:paraId="147EDF0C" w14:textId="77777777" w:rsidR="007F5E1B" w:rsidRPr="00A04DAB" w:rsidRDefault="007F5E1B" w:rsidP="007F5E1B">
            <w:pPr>
              <w:pStyle w:val="Body"/>
              <w:rPr>
                <w:rFonts w:ascii="Calibri" w:eastAsia="Calibri" w:hAnsi="Calibri" w:cs="Calibri"/>
              </w:rPr>
            </w:pPr>
            <w:r w:rsidRPr="00A04DAB">
              <w:rPr>
                <w:rFonts w:ascii="Calibri" w:eastAsia="Calibri" w:hAnsi="Calibri" w:cs="Calibri"/>
              </w:rPr>
              <w:t xml:space="preserve">                Examples include but are not limited to:</w:t>
            </w:r>
          </w:p>
          <w:p w14:paraId="623F8A40" w14:textId="77777777" w:rsidR="007F5E1B" w:rsidRPr="00A04DAB" w:rsidRDefault="007F5E1B" w:rsidP="007F5E1B">
            <w:pPr>
              <w:pStyle w:val="Body"/>
              <w:numPr>
                <w:ilvl w:val="0"/>
                <w:numId w:val="35"/>
              </w:numPr>
              <w:rPr>
                <w:rFonts w:ascii="Calibri" w:eastAsia="Calibri" w:hAnsi="Calibri" w:cs="Calibri"/>
              </w:rPr>
            </w:pPr>
            <w:r w:rsidRPr="00A04DAB">
              <w:rPr>
                <w:rFonts w:ascii="Calibri" w:eastAsia="Calibri" w:hAnsi="Calibri" w:cs="Calibri"/>
              </w:rPr>
              <w:t>Candidate identification</w:t>
            </w:r>
          </w:p>
          <w:p w14:paraId="3AA7B09D" w14:textId="77777777" w:rsidR="007F5E1B" w:rsidRPr="00A04DAB" w:rsidRDefault="007F5E1B" w:rsidP="007F5E1B">
            <w:pPr>
              <w:pStyle w:val="Body"/>
              <w:numPr>
                <w:ilvl w:val="0"/>
                <w:numId w:val="35"/>
              </w:numPr>
              <w:rPr>
                <w:rFonts w:ascii="Calibri" w:eastAsia="Calibri" w:hAnsi="Calibri" w:cs="Calibri"/>
              </w:rPr>
            </w:pPr>
            <w:r w:rsidRPr="00A04DAB">
              <w:rPr>
                <w:rFonts w:ascii="Calibri" w:eastAsia="Calibri" w:hAnsi="Calibri" w:cs="Calibri"/>
              </w:rPr>
              <w:t>Scanning candidate’s environment</w:t>
            </w:r>
          </w:p>
          <w:p w14:paraId="4E2F3813" w14:textId="77777777" w:rsidR="007F5E1B" w:rsidRPr="00A04DAB" w:rsidRDefault="007F5E1B" w:rsidP="007F5E1B">
            <w:pPr>
              <w:pStyle w:val="Body"/>
              <w:numPr>
                <w:ilvl w:val="0"/>
                <w:numId w:val="35"/>
              </w:numPr>
              <w:rPr>
                <w:rFonts w:ascii="Calibri" w:eastAsia="Calibri" w:hAnsi="Calibri" w:cs="Calibri"/>
              </w:rPr>
            </w:pPr>
            <w:r w:rsidRPr="00A04DAB">
              <w:rPr>
                <w:rFonts w:ascii="Calibri" w:eastAsia="Calibri" w:hAnsi="Calibri" w:cs="Calibri"/>
              </w:rPr>
              <w:t>Browser security</w:t>
            </w:r>
          </w:p>
          <w:p w14:paraId="0486FDDC" w14:textId="77777777" w:rsidR="007F5E1B" w:rsidRPr="00A04DAB" w:rsidRDefault="007F5E1B" w:rsidP="007F5E1B">
            <w:pPr>
              <w:pStyle w:val="Body"/>
              <w:numPr>
                <w:ilvl w:val="0"/>
                <w:numId w:val="35"/>
              </w:numPr>
              <w:rPr>
                <w:rFonts w:ascii="Calibri" w:eastAsia="Calibri" w:hAnsi="Calibri" w:cs="Calibri"/>
              </w:rPr>
            </w:pPr>
            <w:r w:rsidRPr="00A04DAB">
              <w:rPr>
                <w:rFonts w:ascii="Calibri" w:eastAsia="Calibri" w:hAnsi="Calibri" w:cs="Calibri"/>
              </w:rPr>
              <w:t>Definition of irregular behavior</w:t>
            </w:r>
          </w:p>
          <w:p w14:paraId="49C582F0" w14:textId="77777777" w:rsidR="007F5E1B" w:rsidRPr="00A04DAB" w:rsidRDefault="007F5E1B" w:rsidP="007F5E1B">
            <w:pPr>
              <w:pStyle w:val="Body"/>
              <w:numPr>
                <w:ilvl w:val="0"/>
                <w:numId w:val="35"/>
              </w:numPr>
              <w:rPr>
                <w:rFonts w:ascii="Calibri" w:eastAsia="Calibri" w:hAnsi="Calibri" w:cs="Calibri"/>
              </w:rPr>
            </w:pPr>
            <w:r w:rsidRPr="00A04DAB">
              <w:rPr>
                <w:rFonts w:ascii="Calibri" w:eastAsia="Calibri" w:hAnsi="Calibri" w:cs="Calibri"/>
              </w:rPr>
              <w:t>Process for measuring test irregularities</w:t>
            </w:r>
          </w:p>
          <w:p w14:paraId="393D1CDC" w14:textId="77777777" w:rsidR="007F5E1B" w:rsidRPr="00A04DAB" w:rsidRDefault="007F5E1B" w:rsidP="007F5E1B">
            <w:pPr>
              <w:pStyle w:val="Body"/>
              <w:numPr>
                <w:ilvl w:val="0"/>
                <w:numId w:val="35"/>
              </w:numPr>
              <w:rPr>
                <w:rFonts w:ascii="Calibri" w:eastAsia="Calibri" w:hAnsi="Calibri" w:cs="Calibri"/>
              </w:rPr>
            </w:pPr>
            <w:r w:rsidRPr="00A04DAB">
              <w:rPr>
                <w:rFonts w:ascii="Calibri" w:eastAsia="Calibri" w:hAnsi="Calibri" w:cs="Calibri"/>
              </w:rPr>
              <w:t>Maximum number of candidates being monitored at any given time.</w:t>
            </w:r>
          </w:p>
          <w:p w14:paraId="12F08B31" w14:textId="77777777" w:rsidR="007F5E1B" w:rsidRPr="00A04DAB" w:rsidRDefault="007F5E1B" w:rsidP="00197337">
            <w:pPr>
              <w:pStyle w:val="Body"/>
              <w:rPr>
                <w:rFonts w:ascii="Calibri" w:eastAsia="Calibri" w:hAnsi="Calibri" w:cs="Calibri"/>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89704" w14:textId="77777777" w:rsidR="007F5E1B" w:rsidRPr="00F5070A" w:rsidRDefault="007F5E1B" w:rsidP="007F5E1B">
            <w:pPr>
              <w:rPr>
                <w:rFonts w:asciiTheme="majorHAnsi" w:hAnsiTheme="majorHAnsi"/>
              </w:rPr>
            </w:pPr>
          </w:p>
        </w:tc>
      </w:tr>
      <w:tr w:rsidR="00197337" w14:paraId="5BAAC166" w14:textId="77777777" w:rsidTr="00197337">
        <w:trPr>
          <w:trHeight w:val="1770"/>
        </w:trPr>
        <w:tc>
          <w:tcPr>
            <w:tcW w:w="573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4F171D7" w14:textId="1CBF4C67" w:rsidR="00197337" w:rsidRDefault="00197337" w:rsidP="001561F4">
            <w:pPr>
              <w:pStyle w:val="Body"/>
              <w:ind w:left="705" w:hanging="705"/>
              <w:rPr>
                <w:rFonts w:ascii="Calibri" w:eastAsia="Calibri" w:hAnsi="Calibri" w:cs="Calibri"/>
              </w:rPr>
            </w:pPr>
            <w:r>
              <w:rPr>
                <w:rFonts w:ascii="Calibri" w:eastAsia="Calibri" w:hAnsi="Calibri" w:cs="Calibri"/>
              </w:rPr>
              <w:t xml:space="preserve">11.2b.  </w:t>
            </w:r>
            <w:r w:rsidR="001561F4">
              <w:rPr>
                <w:rFonts w:ascii="Calibri" w:eastAsia="Calibri" w:hAnsi="Calibri" w:cs="Calibri"/>
              </w:rPr>
              <w:t xml:space="preserve">  </w:t>
            </w:r>
            <w:r>
              <w:rPr>
                <w:rFonts w:ascii="Calibri" w:eastAsia="Calibri" w:hAnsi="Calibri" w:cs="Calibri"/>
              </w:rPr>
              <w:t xml:space="preserve">The certifying organization’s plan for test security monitoring   </w:t>
            </w:r>
            <w:r w:rsidR="00A6495E">
              <w:rPr>
                <w:rFonts w:ascii="Calibri" w:eastAsia="Calibri" w:hAnsi="Calibri" w:cs="Calibri"/>
              </w:rPr>
              <w:t xml:space="preserve">and </w:t>
            </w:r>
            <w:r>
              <w:rPr>
                <w:rFonts w:ascii="Calibri" w:eastAsia="Calibri" w:hAnsi="Calibri" w:cs="Calibri"/>
              </w:rPr>
              <w:t>evaluation. Examples include, but are not limited to:</w:t>
            </w:r>
          </w:p>
          <w:p w14:paraId="1790CC70" w14:textId="77777777" w:rsidR="00197337" w:rsidRPr="00197337" w:rsidRDefault="00197337" w:rsidP="001561F4">
            <w:pPr>
              <w:pStyle w:val="Body"/>
              <w:numPr>
                <w:ilvl w:val="0"/>
                <w:numId w:val="43"/>
              </w:numPr>
              <w:ind w:left="1065"/>
              <w:rPr>
                <w:rFonts w:ascii="Calibri" w:eastAsia="Calibri" w:hAnsi="Calibri" w:cs="Calibri"/>
              </w:rPr>
            </w:pPr>
            <w:r w:rsidRPr="00197337">
              <w:rPr>
                <w:rFonts w:ascii="Calibri" w:eastAsia="Calibri" w:hAnsi="Calibri" w:cs="Calibri"/>
              </w:rPr>
              <w:t>Process for the organization to receive reports on test irregularities</w:t>
            </w:r>
          </w:p>
          <w:p w14:paraId="5BFD445A" w14:textId="77777777" w:rsidR="00197337" w:rsidRPr="00197337" w:rsidRDefault="00197337" w:rsidP="001561F4">
            <w:pPr>
              <w:pStyle w:val="Body"/>
              <w:numPr>
                <w:ilvl w:val="0"/>
                <w:numId w:val="43"/>
              </w:numPr>
              <w:ind w:left="1065"/>
              <w:rPr>
                <w:rFonts w:ascii="Calibri" w:eastAsia="Calibri" w:hAnsi="Calibri" w:cs="Calibri"/>
              </w:rPr>
            </w:pPr>
            <w:r w:rsidRPr="00197337">
              <w:rPr>
                <w:rFonts w:ascii="Calibri" w:eastAsia="Calibri" w:hAnsi="Calibri" w:cs="Calibri"/>
              </w:rPr>
              <w:t>Policies for investigating reported irregularities</w:t>
            </w:r>
          </w:p>
          <w:p w14:paraId="1E340AFC" w14:textId="77777777" w:rsidR="00197337" w:rsidRPr="00197337" w:rsidRDefault="00197337" w:rsidP="001561F4">
            <w:pPr>
              <w:pStyle w:val="Body"/>
              <w:numPr>
                <w:ilvl w:val="0"/>
                <w:numId w:val="43"/>
              </w:numPr>
              <w:ind w:left="1065"/>
              <w:rPr>
                <w:rFonts w:ascii="Calibri" w:eastAsia="Calibri" w:hAnsi="Calibri" w:cs="Calibri"/>
              </w:rPr>
            </w:pPr>
            <w:r w:rsidRPr="00197337">
              <w:rPr>
                <w:rFonts w:ascii="Calibri" w:eastAsia="Calibri" w:hAnsi="Calibri" w:cs="Calibri"/>
              </w:rPr>
              <w:t>Failure Mode and Effects Analysis (FMEA)</w:t>
            </w:r>
          </w:p>
          <w:p w14:paraId="110CED66" w14:textId="38111E54" w:rsidR="00197337" w:rsidRPr="00A04DAB" w:rsidRDefault="00197337" w:rsidP="001561F4">
            <w:pPr>
              <w:pStyle w:val="Body"/>
              <w:numPr>
                <w:ilvl w:val="0"/>
                <w:numId w:val="43"/>
              </w:numPr>
              <w:ind w:left="1065"/>
              <w:rPr>
                <w:rFonts w:ascii="Calibri" w:eastAsia="Calibri" w:hAnsi="Calibri" w:cs="Calibri"/>
              </w:rPr>
            </w:pPr>
            <w:r>
              <w:rPr>
                <w:rFonts w:ascii="Calibri" w:eastAsia="Calibri" w:hAnsi="Calibri" w:cs="Calibri"/>
              </w:rPr>
              <w:t xml:space="preserve">Process to monitor social media for possible security breaches.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C0DD0" w14:textId="77777777" w:rsidR="00197337" w:rsidRPr="00F5070A" w:rsidRDefault="00197337" w:rsidP="007F5E1B">
            <w:pPr>
              <w:rPr>
                <w:rFonts w:asciiTheme="majorHAnsi" w:hAnsiTheme="majorHAnsi"/>
              </w:rPr>
            </w:pPr>
          </w:p>
        </w:tc>
      </w:tr>
    </w:tbl>
    <w:p w14:paraId="726C3018" w14:textId="77777777" w:rsidR="00DD2A19" w:rsidRDefault="00DD2A19" w:rsidP="00A04DAB">
      <w:pPr>
        <w:pStyle w:val="Body"/>
        <w:widowControl w:val="0"/>
        <w:rPr>
          <w:rFonts w:ascii="Calibri" w:eastAsia="Calibri" w:hAnsi="Calibri" w:cs="Calibri"/>
        </w:rPr>
      </w:pPr>
    </w:p>
    <w:sectPr w:rsidR="00DD2A19">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BBD51" w14:textId="77777777" w:rsidR="006E67A9" w:rsidRDefault="006E67A9">
      <w:r>
        <w:separator/>
      </w:r>
    </w:p>
  </w:endnote>
  <w:endnote w:type="continuationSeparator" w:id="0">
    <w:p w14:paraId="051C8745" w14:textId="77777777" w:rsidR="006E67A9" w:rsidRDefault="006E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73617" w14:textId="77777777" w:rsidR="005C7F42" w:rsidRDefault="005C7F42">
    <w:pPr>
      <w:pStyle w:val="Body"/>
      <w:tabs>
        <w:tab w:val="center" w:pos="4320"/>
        <w:tab w:val="right" w:pos="8640"/>
      </w:tabs>
      <w:jc w:val="right"/>
    </w:pP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Pr>
        <w:rFonts w:ascii="Calibri" w:eastAsia="Calibri" w:hAnsi="Calibri" w:cs="Calibri"/>
        <w:noProof/>
      </w:rPr>
      <w:t>2</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DF5BF" w14:textId="77777777" w:rsidR="006E67A9" w:rsidRDefault="006E67A9">
      <w:r>
        <w:separator/>
      </w:r>
    </w:p>
  </w:footnote>
  <w:footnote w:type="continuationSeparator" w:id="0">
    <w:p w14:paraId="6DF60761" w14:textId="77777777" w:rsidR="006E67A9" w:rsidRDefault="006E6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05A86" w14:textId="77777777" w:rsidR="005C7F42" w:rsidRDefault="005C7F4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2272"/>
    <w:multiLevelType w:val="hybridMultilevel"/>
    <w:tmpl w:val="27C4F292"/>
    <w:numStyleLink w:val="ImportedStyle2"/>
  </w:abstractNum>
  <w:abstractNum w:abstractNumId="1" w15:restartNumberingAfterBreak="0">
    <w:nsid w:val="0D035DB7"/>
    <w:multiLevelType w:val="hybridMultilevel"/>
    <w:tmpl w:val="0E3A2D84"/>
    <w:styleLink w:val="ImportedStyle4"/>
    <w:lvl w:ilvl="0" w:tplc="95C8C244">
      <w:start w:val="1"/>
      <w:numFmt w:val="decimal"/>
      <w:lvlText w:val="%1."/>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DCA9B8">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289356">
      <w:start w:val="1"/>
      <w:numFmt w:val="decimal"/>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D8A51A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8CDFD2">
      <w:start w:val="1"/>
      <w:numFmt w:val="decimal"/>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926F08">
      <w:start w:val="1"/>
      <w:numFmt w:val="decimal"/>
      <w:lvlText w:val="%6."/>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64447E0">
      <w:start w:val="1"/>
      <w:numFmt w:val="decimal"/>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6E1BEE">
      <w:start w:val="1"/>
      <w:numFmt w:val="decimal"/>
      <w:lvlText w:val="%8."/>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0457A">
      <w:start w:val="1"/>
      <w:numFmt w:val="decimal"/>
      <w:lvlText w:val="%9."/>
      <w:lvlJc w:val="left"/>
      <w:pPr>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D5236C9"/>
    <w:multiLevelType w:val="multilevel"/>
    <w:tmpl w:val="F79C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F2C05"/>
    <w:multiLevelType w:val="hybridMultilevel"/>
    <w:tmpl w:val="4738A340"/>
    <w:lvl w:ilvl="0" w:tplc="0409000F">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827DE"/>
    <w:multiLevelType w:val="hybridMultilevel"/>
    <w:tmpl w:val="65BE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36546"/>
    <w:multiLevelType w:val="hybridMultilevel"/>
    <w:tmpl w:val="E1841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84EBE"/>
    <w:multiLevelType w:val="multilevel"/>
    <w:tmpl w:val="A7922770"/>
    <w:lvl w:ilvl="0">
      <w:start w:val="1"/>
      <w:numFmt w:val="decimal"/>
      <w:lvlText w:val="%1."/>
      <w:lvlJc w:val="left"/>
      <w:pPr>
        <w:tabs>
          <w:tab w:val="left" w:pos="690"/>
        </w:tabs>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690"/>
        </w:tabs>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690" w:hanging="6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690" w:hanging="6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690" w:hanging="6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690" w:hanging="6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690" w:hanging="6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690" w:hanging="6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90" w:hanging="6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37A531F"/>
    <w:multiLevelType w:val="hybridMultilevel"/>
    <w:tmpl w:val="108E5936"/>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8" w15:restartNumberingAfterBreak="0">
    <w:nsid w:val="181E6BB3"/>
    <w:multiLevelType w:val="multilevel"/>
    <w:tmpl w:val="7E8086CE"/>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D4D3AEC"/>
    <w:multiLevelType w:val="hybridMultilevel"/>
    <w:tmpl w:val="DB0637D0"/>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0" w15:restartNumberingAfterBreak="0">
    <w:nsid w:val="1F7D36FF"/>
    <w:multiLevelType w:val="hybridMultilevel"/>
    <w:tmpl w:val="0B3E893E"/>
    <w:lvl w:ilvl="0" w:tplc="0409000F">
      <w:start w:val="1"/>
      <w:numFmt w:val="decimal"/>
      <w:lvlText w:val="%1."/>
      <w:lvlJc w:val="left"/>
      <w:pPr>
        <w:ind w:left="707" w:hanging="360"/>
      </w:p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11" w15:restartNumberingAfterBreak="0">
    <w:nsid w:val="24395079"/>
    <w:multiLevelType w:val="hybridMultilevel"/>
    <w:tmpl w:val="501C9C98"/>
    <w:numStyleLink w:val="ImportedStyle10"/>
  </w:abstractNum>
  <w:abstractNum w:abstractNumId="12" w15:restartNumberingAfterBreak="0">
    <w:nsid w:val="25C64CFB"/>
    <w:multiLevelType w:val="hybridMultilevel"/>
    <w:tmpl w:val="C3C04F6C"/>
    <w:numStyleLink w:val="ImportedStyle3"/>
  </w:abstractNum>
  <w:abstractNum w:abstractNumId="13" w15:restartNumberingAfterBreak="0">
    <w:nsid w:val="26026315"/>
    <w:multiLevelType w:val="hybridMultilevel"/>
    <w:tmpl w:val="E292A83A"/>
    <w:styleLink w:val="ImportedStyle7"/>
    <w:lvl w:ilvl="0" w:tplc="5CF23F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1C71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AE0A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6464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FEA7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A2EE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3EC0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00BF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4C31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CA02E34"/>
    <w:multiLevelType w:val="hybridMultilevel"/>
    <w:tmpl w:val="1674ABB0"/>
    <w:numStyleLink w:val="ImportedStyle8"/>
  </w:abstractNum>
  <w:abstractNum w:abstractNumId="15" w15:restartNumberingAfterBreak="0">
    <w:nsid w:val="2E2B653E"/>
    <w:multiLevelType w:val="multilevel"/>
    <w:tmpl w:val="0B8C45A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EB05D21"/>
    <w:multiLevelType w:val="hybridMultilevel"/>
    <w:tmpl w:val="FD5430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3164002C"/>
    <w:multiLevelType w:val="multilevel"/>
    <w:tmpl w:val="9C9E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8538BB"/>
    <w:multiLevelType w:val="hybridMultilevel"/>
    <w:tmpl w:val="545836F6"/>
    <w:numStyleLink w:val="ImportedStyle1"/>
  </w:abstractNum>
  <w:abstractNum w:abstractNumId="19" w15:restartNumberingAfterBreak="0">
    <w:nsid w:val="3AED4ACB"/>
    <w:multiLevelType w:val="hybridMultilevel"/>
    <w:tmpl w:val="1674ABB0"/>
    <w:styleLink w:val="ImportedStyle8"/>
    <w:lvl w:ilvl="0" w:tplc="EB525E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16DE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3A69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52C3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2E2F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E2F9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D0BD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A233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ACA0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B73782B"/>
    <w:multiLevelType w:val="multilevel"/>
    <w:tmpl w:val="4902405E"/>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0A41464"/>
    <w:multiLevelType w:val="hybridMultilevel"/>
    <w:tmpl w:val="C3C04F6C"/>
    <w:styleLink w:val="ImportedStyle3"/>
    <w:lvl w:ilvl="0" w:tplc="46C68F28">
      <w:start w:val="1"/>
      <w:numFmt w:val="decimal"/>
      <w:lvlText w:val="%1."/>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4AEBB0">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AC599C">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CCA7D60">
      <w:start w:val="1"/>
      <w:numFmt w:val="lowerLetter"/>
      <w:lvlText w:val="%4)"/>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2C242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084EAC">
      <w:start w:val="1"/>
      <w:numFmt w:val="lowerLetter"/>
      <w:lvlText w:val="%6)"/>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C2CEC8">
      <w:start w:val="1"/>
      <w:numFmt w:val="lowerLetter"/>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34BE74">
      <w:start w:val="1"/>
      <w:numFmt w:val="lowerLetter"/>
      <w:lvlText w:val="%8)"/>
      <w:lvlJc w:val="left"/>
      <w:pPr>
        <w:ind w:left="66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A36CC7A">
      <w:start w:val="1"/>
      <w:numFmt w:val="lowerLetter"/>
      <w:lvlText w:val="%9)"/>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F216418"/>
    <w:multiLevelType w:val="hybridMultilevel"/>
    <w:tmpl w:val="501C9C98"/>
    <w:styleLink w:val="ImportedStyle10"/>
    <w:lvl w:ilvl="0" w:tplc="0E8C550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6102554">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0AE7E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164058">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78C7140">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41496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58ACF8">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8A69FB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7A4A4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0DA132A"/>
    <w:multiLevelType w:val="hybridMultilevel"/>
    <w:tmpl w:val="CA220872"/>
    <w:styleLink w:val="ImportedStyle6"/>
    <w:lvl w:ilvl="0" w:tplc="4712DC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2014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A816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B8AE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2C4F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C2B7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C691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2ADA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6839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3826B16"/>
    <w:multiLevelType w:val="hybridMultilevel"/>
    <w:tmpl w:val="D5A2314A"/>
    <w:styleLink w:val="ImportedStyle9"/>
    <w:lvl w:ilvl="0" w:tplc="2AC067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AAED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C460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C89F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EA83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826E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4802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3699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9CBF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58E00AC"/>
    <w:multiLevelType w:val="hybridMultilevel"/>
    <w:tmpl w:val="CDA4B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1F0E57"/>
    <w:multiLevelType w:val="hybridMultilevel"/>
    <w:tmpl w:val="E292A83A"/>
    <w:numStyleLink w:val="ImportedStyle7"/>
  </w:abstractNum>
  <w:abstractNum w:abstractNumId="27" w15:restartNumberingAfterBreak="0">
    <w:nsid w:val="67870407"/>
    <w:multiLevelType w:val="hybridMultilevel"/>
    <w:tmpl w:val="4D5C5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A874A5"/>
    <w:multiLevelType w:val="hybridMultilevel"/>
    <w:tmpl w:val="6A944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8334CF7"/>
    <w:multiLevelType w:val="hybridMultilevel"/>
    <w:tmpl w:val="D5A2314A"/>
    <w:numStyleLink w:val="ImportedStyle9"/>
  </w:abstractNum>
  <w:abstractNum w:abstractNumId="30" w15:restartNumberingAfterBreak="0">
    <w:nsid w:val="68C23850"/>
    <w:multiLevelType w:val="hybridMultilevel"/>
    <w:tmpl w:val="CA220872"/>
    <w:numStyleLink w:val="ImportedStyle6"/>
  </w:abstractNum>
  <w:abstractNum w:abstractNumId="31" w15:restartNumberingAfterBreak="0">
    <w:nsid w:val="6B030DC0"/>
    <w:multiLevelType w:val="hybridMultilevel"/>
    <w:tmpl w:val="716A8E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15:restartNumberingAfterBreak="0">
    <w:nsid w:val="6BAC044F"/>
    <w:multiLevelType w:val="hybridMultilevel"/>
    <w:tmpl w:val="CF64BC46"/>
    <w:lvl w:ilvl="0" w:tplc="7B501EB8">
      <w:start w:val="1"/>
      <w:numFmt w:val="bullet"/>
      <w:lvlText w:val="●"/>
      <w:lvlJc w:val="left"/>
      <w:pPr>
        <w:tabs>
          <w:tab w:val="left" w:pos="1080"/>
          <w:tab w:val="left" w:pos="2196"/>
          <w:tab w:val="left" w:pos="2868"/>
        </w:tabs>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EAC01A0">
      <w:start w:val="1"/>
      <w:numFmt w:val="bullet"/>
      <w:lvlText w:val="●"/>
      <w:lvlJc w:val="left"/>
      <w:pPr>
        <w:tabs>
          <w:tab w:val="left" w:pos="720"/>
          <w:tab w:val="left" w:pos="2196"/>
          <w:tab w:val="left" w:pos="2868"/>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FD88480">
      <w:start w:val="1"/>
      <w:numFmt w:val="bullet"/>
      <w:lvlText w:val="●"/>
      <w:lvlJc w:val="left"/>
      <w:pPr>
        <w:tabs>
          <w:tab w:val="left" w:pos="720"/>
          <w:tab w:val="left" w:pos="1080"/>
          <w:tab w:val="left" w:pos="2196"/>
          <w:tab w:val="left" w:pos="2868"/>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FD4E2F8">
      <w:start w:val="1"/>
      <w:numFmt w:val="bullet"/>
      <w:lvlText w:val="●"/>
      <w:lvlJc w:val="left"/>
      <w:pPr>
        <w:tabs>
          <w:tab w:val="left" w:pos="720"/>
          <w:tab w:val="left" w:pos="1080"/>
          <w:tab w:val="left" w:pos="2196"/>
          <w:tab w:val="left" w:pos="2868"/>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DEA0890">
      <w:start w:val="1"/>
      <w:numFmt w:val="bullet"/>
      <w:lvlText w:val="●"/>
      <w:lvlJc w:val="left"/>
      <w:pPr>
        <w:tabs>
          <w:tab w:val="left" w:pos="720"/>
          <w:tab w:val="left" w:pos="1080"/>
          <w:tab w:val="left" w:pos="2196"/>
          <w:tab w:val="left" w:pos="2868"/>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97A2C20">
      <w:start w:val="1"/>
      <w:numFmt w:val="bullet"/>
      <w:lvlText w:val="●"/>
      <w:lvlJc w:val="left"/>
      <w:pPr>
        <w:tabs>
          <w:tab w:val="left" w:pos="720"/>
          <w:tab w:val="left" w:pos="1080"/>
          <w:tab w:val="left" w:pos="2196"/>
          <w:tab w:val="left" w:pos="2868"/>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ED2DF4A">
      <w:start w:val="1"/>
      <w:numFmt w:val="bullet"/>
      <w:lvlText w:val="●"/>
      <w:lvlJc w:val="left"/>
      <w:pPr>
        <w:tabs>
          <w:tab w:val="left" w:pos="720"/>
          <w:tab w:val="left" w:pos="1080"/>
          <w:tab w:val="left" w:pos="2196"/>
          <w:tab w:val="left" w:pos="2868"/>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56835B4">
      <w:start w:val="1"/>
      <w:numFmt w:val="bullet"/>
      <w:lvlText w:val="●"/>
      <w:lvlJc w:val="left"/>
      <w:pPr>
        <w:tabs>
          <w:tab w:val="left" w:pos="720"/>
          <w:tab w:val="left" w:pos="1080"/>
          <w:tab w:val="left" w:pos="2196"/>
          <w:tab w:val="left" w:pos="2868"/>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5FC0AFC">
      <w:start w:val="1"/>
      <w:numFmt w:val="bullet"/>
      <w:lvlText w:val="●"/>
      <w:lvlJc w:val="left"/>
      <w:pPr>
        <w:tabs>
          <w:tab w:val="left" w:pos="720"/>
          <w:tab w:val="left" w:pos="1080"/>
          <w:tab w:val="left" w:pos="2196"/>
          <w:tab w:val="left" w:pos="2868"/>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C5C58CE"/>
    <w:multiLevelType w:val="hybridMultilevel"/>
    <w:tmpl w:val="545836F6"/>
    <w:styleLink w:val="ImportedStyle1"/>
    <w:lvl w:ilvl="0" w:tplc="FF749A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C02C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48EB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66FE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F472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4681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7A6C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A641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FA4F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FE62C5E"/>
    <w:multiLevelType w:val="multilevel"/>
    <w:tmpl w:val="C25605E2"/>
    <w:lvl w:ilvl="0">
      <w:start w:val="18"/>
      <w:numFmt w:val="decimal"/>
      <w:lvlText w:val="%1"/>
      <w:lvlJc w:val="left"/>
      <w:pPr>
        <w:ind w:left="420" w:hanging="420"/>
      </w:pPr>
      <w:rPr>
        <w:rFonts w:hint="default"/>
        <w:b/>
      </w:rPr>
    </w:lvl>
    <w:lvl w:ilvl="1">
      <w:start w:val="2"/>
      <w:numFmt w:val="decimal"/>
      <w:lvlText w:val="%1.%2"/>
      <w:lvlJc w:val="left"/>
      <w:pPr>
        <w:ind w:left="420" w:hanging="420"/>
      </w:pPr>
      <w:rPr>
        <w:rFonts w:hint="default"/>
        <w:b w:val="0"/>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72092121"/>
    <w:multiLevelType w:val="multilevel"/>
    <w:tmpl w:val="68922E74"/>
    <w:lvl w:ilvl="0">
      <w:start w:val="1"/>
      <w:numFmt w:val="decimal"/>
      <w:lvlText w:val="%1."/>
      <w:lvlJc w:val="left"/>
      <w:pPr>
        <w:tabs>
          <w:tab w:val="left" w:pos="73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3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35"/>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735"/>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35" w:hanging="73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735" w:hanging="73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735" w:hanging="73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735" w:hanging="73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35" w:hanging="7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3DD494C"/>
    <w:multiLevelType w:val="multilevel"/>
    <w:tmpl w:val="A8821B5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92B35B6"/>
    <w:multiLevelType w:val="hybridMultilevel"/>
    <w:tmpl w:val="0E3A2D84"/>
    <w:numStyleLink w:val="ImportedStyle4"/>
  </w:abstractNum>
  <w:abstractNum w:abstractNumId="38" w15:restartNumberingAfterBreak="0">
    <w:nsid w:val="7AE56BDF"/>
    <w:multiLevelType w:val="hybridMultilevel"/>
    <w:tmpl w:val="27C4F292"/>
    <w:styleLink w:val="ImportedStyle2"/>
    <w:lvl w:ilvl="0" w:tplc="83BE9C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D00E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F410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A05FA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0013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7621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2E8A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AECF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A8B5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3"/>
  </w:num>
  <w:num w:numId="2">
    <w:abstractNumId w:val="18"/>
  </w:num>
  <w:num w:numId="3">
    <w:abstractNumId w:val="38"/>
  </w:num>
  <w:num w:numId="4">
    <w:abstractNumId w:val="0"/>
  </w:num>
  <w:num w:numId="5">
    <w:abstractNumId w:val="21"/>
  </w:num>
  <w:num w:numId="6">
    <w:abstractNumId w:val="12"/>
  </w:num>
  <w:num w:numId="7">
    <w:abstractNumId w:val="1"/>
  </w:num>
  <w:num w:numId="8">
    <w:abstractNumId w:val="37"/>
  </w:num>
  <w:num w:numId="9">
    <w:abstractNumId w:val="32"/>
  </w:num>
  <w:num w:numId="10">
    <w:abstractNumId w:val="32"/>
    <w:lvlOverride w:ilvl="0">
      <w:lvl w:ilvl="0" w:tplc="7B501EB8">
        <w:start w:val="1"/>
        <w:numFmt w:val="bullet"/>
        <w:lvlText w:val="●"/>
        <w:lvlJc w:val="left"/>
        <w:pPr>
          <w:tabs>
            <w:tab w:val="left" w:pos="1080"/>
          </w:tabs>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EAC01A0">
        <w:start w:val="1"/>
        <w:numFmt w:val="bullet"/>
        <w:lvlText w:val="●"/>
        <w:lvlJc w:val="left"/>
        <w:pPr>
          <w:tabs>
            <w:tab w:val="left" w:pos="720"/>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D88480">
        <w:start w:val="1"/>
        <w:numFmt w:val="bullet"/>
        <w:lvlText w:val="●"/>
        <w:lvlJc w:val="left"/>
        <w:pPr>
          <w:tabs>
            <w:tab w:val="left" w:pos="720"/>
            <w:tab w:val="left" w:pos="1080"/>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FD4E2F8">
        <w:start w:val="1"/>
        <w:numFmt w:val="bullet"/>
        <w:lvlText w:val="●"/>
        <w:lvlJc w:val="left"/>
        <w:pPr>
          <w:tabs>
            <w:tab w:val="left" w:pos="720"/>
            <w:tab w:val="left" w:pos="1080"/>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DEA0890">
        <w:start w:val="1"/>
        <w:numFmt w:val="bullet"/>
        <w:lvlText w:val="●"/>
        <w:lvlJc w:val="left"/>
        <w:pPr>
          <w:tabs>
            <w:tab w:val="left" w:pos="720"/>
            <w:tab w:val="left" w:pos="1080"/>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97A2C20">
        <w:start w:val="1"/>
        <w:numFmt w:val="bullet"/>
        <w:lvlText w:val="●"/>
        <w:lvlJc w:val="left"/>
        <w:pPr>
          <w:tabs>
            <w:tab w:val="left" w:pos="720"/>
            <w:tab w:val="left" w:pos="1080"/>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ED2DF4A">
        <w:start w:val="1"/>
        <w:numFmt w:val="bullet"/>
        <w:lvlText w:val="●"/>
        <w:lvlJc w:val="left"/>
        <w:pPr>
          <w:tabs>
            <w:tab w:val="left" w:pos="720"/>
            <w:tab w:val="left" w:pos="1080"/>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6835B4">
        <w:start w:val="1"/>
        <w:numFmt w:val="bullet"/>
        <w:lvlText w:val="●"/>
        <w:lvlJc w:val="left"/>
        <w:pPr>
          <w:tabs>
            <w:tab w:val="left" w:pos="720"/>
            <w:tab w:val="left" w:pos="1080"/>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5FC0AFC">
        <w:start w:val="1"/>
        <w:numFmt w:val="bullet"/>
        <w:lvlText w:val="●"/>
        <w:lvlJc w:val="left"/>
        <w:pPr>
          <w:tabs>
            <w:tab w:val="left" w:pos="720"/>
            <w:tab w:val="left" w:pos="1080"/>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23"/>
  </w:num>
  <w:num w:numId="12">
    <w:abstractNumId w:val="30"/>
  </w:num>
  <w:num w:numId="13">
    <w:abstractNumId w:val="13"/>
  </w:num>
  <w:num w:numId="14">
    <w:abstractNumId w:val="26"/>
  </w:num>
  <w:num w:numId="15">
    <w:abstractNumId w:val="19"/>
  </w:num>
  <w:num w:numId="16">
    <w:abstractNumId w:val="14"/>
  </w:num>
  <w:num w:numId="17">
    <w:abstractNumId w:val="24"/>
  </w:num>
  <w:num w:numId="18">
    <w:abstractNumId w:val="29"/>
  </w:num>
  <w:num w:numId="19">
    <w:abstractNumId w:val="22"/>
  </w:num>
  <w:num w:numId="20">
    <w:abstractNumId w:val="11"/>
  </w:num>
  <w:num w:numId="21">
    <w:abstractNumId w:val="8"/>
  </w:num>
  <w:num w:numId="22">
    <w:abstractNumId w:val="8"/>
  </w:num>
  <w:num w:numId="23">
    <w:abstractNumId w:val="35"/>
  </w:num>
  <w:num w:numId="24">
    <w:abstractNumId w:val="35"/>
  </w:num>
  <w:num w:numId="25">
    <w:abstractNumId w:val="6"/>
  </w:num>
  <w:num w:numId="26">
    <w:abstractNumId w:val="36"/>
  </w:num>
  <w:num w:numId="27">
    <w:abstractNumId w:val="15"/>
  </w:num>
  <w:num w:numId="28">
    <w:abstractNumId w:val="15"/>
  </w:num>
  <w:num w:numId="29">
    <w:abstractNumId w:val="34"/>
  </w:num>
  <w:num w:numId="30">
    <w:abstractNumId w:val="20"/>
  </w:num>
  <w:num w:numId="31">
    <w:abstractNumId w:val="10"/>
  </w:num>
  <w:num w:numId="32">
    <w:abstractNumId w:val="27"/>
  </w:num>
  <w:num w:numId="33">
    <w:abstractNumId w:val="5"/>
  </w:num>
  <w:num w:numId="34">
    <w:abstractNumId w:val="3"/>
  </w:num>
  <w:num w:numId="35">
    <w:abstractNumId w:val="7"/>
  </w:num>
  <w:num w:numId="36">
    <w:abstractNumId w:val="9"/>
  </w:num>
  <w:num w:numId="37">
    <w:abstractNumId w:val="28"/>
  </w:num>
  <w:num w:numId="38">
    <w:abstractNumId w:val="25"/>
  </w:num>
  <w:num w:numId="39">
    <w:abstractNumId w:val="31"/>
  </w:num>
  <w:num w:numId="40">
    <w:abstractNumId w:val="16"/>
  </w:num>
  <w:num w:numId="41">
    <w:abstractNumId w:val="17"/>
  </w:num>
  <w:num w:numId="42">
    <w:abstractNumId w:val="2"/>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A19"/>
    <w:rsid w:val="00051CBE"/>
    <w:rsid w:val="00062C5B"/>
    <w:rsid w:val="00063407"/>
    <w:rsid w:val="00076365"/>
    <w:rsid w:val="00084B3B"/>
    <w:rsid w:val="000B72AA"/>
    <w:rsid w:val="00140F2D"/>
    <w:rsid w:val="00155910"/>
    <w:rsid w:val="001561F4"/>
    <w:rsid w:val="00197337"/>
    <w:rsid w:val="001A6136"/>
    <w:rsid w:val="001B76F6"/>
    <w:rsid w:val="001F3BDC"/>
    <w:rsid w:val="0026543E"/>
    <w:rsid w:val="002736F9"/>
    <w:rsid w:val="00291767"/>
    <w:rsid w:val="00345F55"/>
    <w:rsid w:val="003E7943"/>
    <w:rsid w:val="003F58E5"/>
    <w:rsid w:val="004167DE"/>
    <w:rsid w:val="00423EE0"/>
    <w:rsid w:val="00436802"/>
    <w:rsid w:val="004A2EA3"/>
    <w:rsid w:val="004C536F"/>
    <w:rsid w:val="004F5503"/>
    <w:rsid w:val="00573D03"/>
    <w:rsid w:val="005B1B87"/>
    <w:rsid w:val="005C7F42"/>
    <w:rsid w:val="005E5CF7"/>
    <w:rsid w:val="006308D2"/>
    <w:rsid w:val="00631C46"/>
    <w:rsid w:val="0065027D"/>
    <w:rsid w:val="006D5A5D"/>
    <w:rsid w:val="006E67A9"/>
    <w:rsid w:val="0070151C"/>
    <w:rsid w:val="00794882"/>
    <w:rsid w:val="0079547E"/>
    <w:rsid w:val="007B0367"/>
    <w:rsid w:val="007B0506"/>
    <w:rsid w:val="007C0E26"/>
    <w:rsid w:val="007D7A47"/>
    <w:rsid w:val="007F5E1B"/>
    <w:rsid w:val="008B4A9A"/>
    <w:rsid w:val="008B4BF3"/>
    <w:rsid w:val="009536AF"/>
    <w:rsid w:val="00A04DAB"/>
    <w:rsid w:val="00A06557"/>
    <w:rsid w:val="00A6481C"/>
    <w:rsid w:val="00A6495E"/>
    <w:rsid w:val="00AA562A"/>
    <w:rsid w:val="00AC28DE"/>
    <w:rsid w:val="00AC3C8B"/>
    <w:rsid w:val="00AE3EBC"/>
    <w:rsid w:val="00B31732"/>
    <w:rsid w:val="00B425C1"/>
    <w:rsid w:val="00B450CD"/>
    <w:rsid w:val="00B94995"/>
    <w:rsid w:val="00BF31EF"/>
    <w:rsid w:val="00C16E08"/>
    <w:rsid w:val="00C30BA8"/>
    <w:rsid w:val="00C85ADD"/>
    <w:rsid w:val="00D11DD6"/>
    <w:rsid w:val="00D408E9"/>
    <w:rsid w:val="00DB6818"/>
    <w:rsid w:val="00DC7B45"/>
    <w:rsid w:val="00DD2A19"/>
    <w:rsid w:val="00DE3FD3"/>
    <w:rsid w:val="00E11C5F"/>
    <w:rsid w:val="00E11F57"/>
    <w:rsid w:val="00E30854"/>
    <w:rsid w:val="00EA7460"/>
    <w:rsid w:val="00EB2056"/>
    <w:rsid w:val="00EB3EDD"/>
    <w:rsid w:val="00ED6F03"/>
    <w:rsid w:val="00F143EA"/>
    <w:rsid w:val="00F5070A"/>
    <w:rsid w:val="00F61C16"/>
    <w:rsid w:val="00F84610"/>
    <w:rsid w:val="00FE07FC"/>
    <w:rsid w:val="00FF0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E9D3"/>
  <w15:docId w15:val="{7A3EB592-D990-4146-945E-8C08330D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2">
    <w:name w:val="heading 2"/>
    <w:basedOn w:val="Normal"/>
    <w:next w:val="Normal"/>
    <w:link w:val="Heading2Char"/>
    <w:uiPriority w:val="9"/>
    <w:semiHidden/>
    <w:unhideWhenUsed/>
    <w:qFormat/>
    <w:rsid w:val="007F5E1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next w:val="Body"/>
    <w:pPr>
      <w:keepNext/>
      <w:outlineLvl w:val="3"/>
    </w:pPr>
    <w:rPr>
      <w:rFonts w:eastAsia="Times New Roman"/>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u w:color="000000"/>
    </w:rPr>
  </w:style>
  <w:style w:type="paragraph" w:styleId="Title">
    <w:name w:val="Title"/>
    <w:next w:val="Body"/>
    <w:pPr>
      <w:keepNext/>
      <w:outlineLvl w:val="2"/>
    </w:pPr>
    <w:rPr>
      <w:rFonts w:ascii="Calibri" w:eastAsia="Calibri" w:hAnsi="Calibri" w:cs="Calibri"/>
      <w:b/>
      <w:bCs/>
      <w:color w:val="000000"/>
      <w:u w:color="000000"/>
    </w:rPr>
  </w:style>
  <w:style w:type="paragraph" w:styleId="TOC1">
    <w:name w:val="toc 1"/>
    <w:pPr>
      <w:tabs>
        <w:tab w:val="right" w:pos="10780"/>
      </w:tabs>
    </w:pPr>
    <w:rPr>
      <w:rFonts w:ascii="Cambria" w:eastAsia="Cambria" w:hAnsi="Cambria" w:cs="Cambria"/>
      <w:i/>
      <w:iCs/>
      <w:color w:val="000000"/>
      <w:u w:color="000000"/>
    </w:rPr>
  </w:style>
  <w:style w:type="paragraph" w:customStyle="1" w:styleId="Heading">
    <w:name w:val="Heading"/>
    <w:next w:val="Body"/>
    <w:pPr>
      <w:keepNext/>
      <w:outlineLvl w:val="0"/>
    </w:pPr>
    <w:rPr>
      <w:rFonts w:ascii="Calibri" w:eastAsia="Calibri" w:hAnsi="Calibri" w:cs="Calibri"/>
      <w:b/>
      <w:bCs/>
      <w:color w:val="000000"/>
      <w:u w:color="000000"/>
    </w:rPr>
  </w:style>
  <w:style w:type="paragraph" w:styleId="TOC2">
    <w:name w:val="toc 2"/>
    <w:pPr>
      <w:spacing w:before="120"/>
      <w:ind w:left="200"/>
    </w:pPr>
    <w:rPr>
      <w:rFonts w:ascii="Cambria" w:eastAsia="Cambria" w:hAnsi="Cambria" w:cs="Cambria"/>
      <w:i/>
      <w:iCs/>
      <w:color w:val="000000"/>
      <w:u w:color="000000"/>
    </w:rPr>
  </w:style>
  <w:style w:type="paragraph" w:styleId="TOC3">
    <w:name w:val="toc 3"/>
    <w:pPr>
      <w:tabs>
        <w:tab w:val="right" w:pos="10780"/>
      </w:tabs>
      <w:spacing w:before="120"/>
      <w:ind w:left="200"/>
    </w:pPr>
    <w:rPr>
      <w:rFonts w:ascii="Cambria" w:eastAsia="Cambria" w:hAnsi="Cambria" w:cs="Cambria"/>
      <w:i/>
      <w:iCs/>
      <w:color w:val="000000"/>
      <w:u w:color="000000"/>
    </w:rPr>
  </w:style>
  <w:style w:type="paragraph" w:styleId="ListParagraph">
    <w:name w:val="List Paragraph"/>
    <w:uiPriority w:val="34"/>
    <w:qFormat/>
    <w:pPr>
      <w:ind w:left="720"/>
    </w:pPr>
    <w:rPr>
      <w:rFonts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NoSpacing">
    <w:name w:val="No Spacing"/>
    <w:rPr>
      <w:rFonts w:cs="Arial Unicode MS"/>
      <w:color w:val="000000"/>
      <w:u w:color="000000"/>
    </w:r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paragraph" w:styleId="BodyText">
    <w:name w:val="Body Text"/>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u w:val="single" w:color="0000FF"/>
    </w:rPr>
  </w:style>
  <w:style w:type="paragraph" w:styleId="CommentText">
    <w:name w:val="annotation text"/>
    <w:basedOn w:val="Normal"/>
    <w:link w:val="CommentTextChar"/>
    <w:uiPriority w:val="99"/>
    <w:semiHidden/>
    <w:unhideWhenUsed/>
    <w:rsid w:val="00B425C1"/>
    <w:rPr>
      <w:sz w:val="20"/>
      <w:szCs w:val="20"/>
    </w:rPr>
  </w:style>
  <w:style w:type="character" w:customStyle="1" w:styleId="CommentTextChar">
    <w:name w:val="Comment Text Char"/>
    <w:basedOn w:val="DefaultParagraphFont"/>
    <w:link w:val="CommentText"/>
    <w:uiPriority w:val="99"/>
    <w:semiHidden/>
    <w:rsid w:val="00B425C1"/>
  </w:style>
  <w:style w:type="character" w:customStyle="1" w:styleId="Heading2Char">
    <w:name w:val="Heading 2 Char"/>
    <w:basedOn w:val="DefaultParagraphFont"/>
    <w:link w:val="Heading2"/>
    <w:uiPriority w:val="9"/>
    <w:semiHidden/>
    <w:rsid w:val="007F5E1B"/>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5E5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470439">
      <w:bodyDiv w:val="1"/>
      <w:marLeft w:val="0"/>
      <w:marRight w:val="0"/>
      <w:marTop w:val="0"/>
      <w:marBottom w:val="0"/>
      <w:divBdr>
        <w:top w:val="none" w:sz="0" w:space="0" w:color="auto"/>
        <w:left w:val="none" w:sz="0" w:space="0" w:color="auto"/>
        <w:bottom w:val="none" w:sz="0" w:space="0" w:color="auto"/>
        <w:right w:val="none" w:sz="0" w:space="0" w:color="auto"/>
      </w:divBdr>
    </w:div>
    <w:div w:id="1579057110">
      <w:bodyDiv w:val="1"/>
      <w:marLeft w:val="0"/>
      <w:marRight w:val="0"/>
      <w:marTop w:val="0"/>
      <w:marBottom w:val="0"/>
      <w:divBdr>
        <w:top w:val="none" w:sz="0" w:space="0" w:color="auto"/>
        <w:left w:val="none" w:sz="0" w:space="0" w:color="auto"/>
        <w:bottom w:val="none" w:sz="0" w:space="0" w:color="auto"/>
        <w:right w:val="none" w:sz="0" w:space="0" w:color="auto"/>
      </w:divBdr>
    </w:div>
    <w:div w:id="2121683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6C631-9D1A-48AF-84B8-2118155A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Bertino</dc:creator>
  <cp:lastModifiedBy>Felicia Lembesis</cp:lastModifiedBy>
  <cp:revision>3</cp:revision>
  <cp:lastPrinted>2019-04-29T18:47:00Z</cp:lastPrinted>
  <dcterms:created xsi:type="dcterms:W3CDTF">2021-01-15T13:58:00Z</dcterms:created>
  <dcterms:modified xsi:type="dcterms:W3CDTF">2021-01-15T15:00:00Z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-1745132831</vt:i4>
  </property>
</Properties>
</file>